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Техническое задание</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Оценка первой (2010-2015) и второй (2016-2020) Страновых программ ЮНФПА для Беларуси</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ВВЕДЕНИЕ</w:t>
      </w:r>
    </w:p>
    <w:p w:rsidR="00000000" w:rsidDel="00000000" w:rsidP="00000000" w:rsidRDefault="00000000" w:rsidRPr="00000000" w14:paraId="00000005">
      <w:pPr>
        <w:jc w:val="both"/>
        <w:rPr/>
      </w:pPr>
      <w:r w:rsidDel="00000000" w:rsidR="00000000" w:rsidRPr="00000000">
        <w:rPr>
          <w:rtl w:val="0"/>
        </w:rPr>
        <w:t xml:space="preserve">Фонд Организации Объединенных Наций в области народонаселения (ЮНФПА) является ведущим агентством Организации Объединенных Наций, работающим над созданием мира, где каждая беременность является желанной, каждые роды безопасны, а потенциал каждого молодого человека реализуется. ЮНФПА работает в области расширения возможностей женщин и молодежи вести здоровую и продуктивную жизнь. Стратегическая цель ЮНФПА заключается в обеспечении всеобщего доступа к услугам в области охраны сексуального и репродуктивного здоровья, реализации репродуктивных прав и сокращения материнской смертности, улучшения жизни женщин, подростков и молодежи с помощью проведения глубокого анализа динамики численности населения, соблюдения и защиты прав человека, и продвижения гендерного равенства. В достижении своей цели ЮНФПА руководствуется Программой действий Международной конференции по народонаселению и развитию (МКНР) (1994 г.)</w:t>
      </w:r>
      <w:r w:rsidDel="00000000" w:rsidR="00000000" w:rsidRPr="00000000">
        <w:rPr>
          <w:vertAlign w:val="superscript"/>
        </w:rPr>
        <w:footnoteReference w:customMarkFollows="0" w:id="0"/>
      </w:r>
      <w:r w:rsidDel="00000000" w:rsidR="00000000" w:rsidRPr="00000000">
        <w:rPr>
          <w:rtl w:val="0"/>
        </w:rPr>
        <w:t xml:space="preserve">, Целями развития тысячелетия (2000 г.)</w:t>
      </w:r>
      <w:r w:rsidDel="00000000" w:rsidR="00000000" w:rsidRPr="00000000">
        <w:rPr>
          <w:vertAlign w:val="superscript"/>
        </w:rPr>
        <w:footnoteReference w:customMarkFollows="0" w:id="1"/>
      </w:r>
      <w:r w:rsidDel="00000000" w:rsidR="00000000" w:rsidRPr="00000000">
        <w:rPr>
          <w:rtl w:val="0"/>
        </w:rPr>
        <w:t xml:space="preserve">  и Повесткой дня в области устойчивого развития на период до 2030 года (2015 г.)</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ЮНФПА работает в Беларуси с 1994 года. Программы Фонда Организации Объединенных Наций в области народонаселения в Беларуси охватывают следующие тематические области: сексуальное и репродуктивное здоровье, народонаселение и развитие, гендерное равенство. Программа Фонда основана на национальных приоритетах и осуществляется в тесном сотрудничестве с Правительством Республики Беларусь, агентствами ООН, неправительственными организациями, международными и национальными экспертами.</w:t>
      </w:r>
      <w:r w:rsidDel="00000000" w:rsidR="00000000" w:rsidRPr="00000000">
        <w:rPr>
          <w:highlight w:val="white"/>
          <w:vertAlign w:val="superscript"/>
        </w:rPr>
        <w:footnoteReference w:customMarkFollows="0" w:id="3"/>
      </w:r>
      <w:r w:rsidDel="00000000" w:rsidR="00000000" w:rsidRPr="00000000">
        <w:rPr>
          <w:rtl w:val="0"/>
        </w:rPr>
        <w:t xml:space="preserve"> Первая Страновая программа (СП) ЮНФПА для Беларуси осуществлялась в 2010-2015 годах</w:t>
      </w:r>
      <w:r w:rsidDel="00000000" w:rsidR="00000000" w:rsidRPr="00000000">
        <w:rPr>
          <w:highlight w:val="white"/>
          <w:vertAlign w:val="superscript"/>
        </w:rPr>
        <w:footnoteReference w:customMarkFollows="0" w:id="4"/>
      </w:r>
      <w:r w:rsidDel="00000000" w:rsidR="00000000" w:rsidRPr="00000000">
        <w:rPr>
          <w:rtl w:val="0"/>
        </w:rPr>
        <w:t xml:space="preserve"> и была сосредоточена на разработке и совершенствовании субнациональных социальных и демографических политик и программ, создании систем профилактики и защиты для снижения гендерного насилия, в том числе домашнего насилия; и интеграции потребностей населения в области репродуктивного здоровья в национальные и секторальные политики и программы. С 2016 года ЮНФПА осуществляет вторую Страновую программу ЮНФПА (2016-2020 годы)</w:t>
      </w:r>
      <w:r w:rsidDel="00000000" w:rsidR="00000000" w:rsidRPr="00000000">
        <w:rPr>
          <w:highlight w:val="white"/>
          <w:vertAlign w:val="superscript"/>
        </w:rPr>
        <w:footnoteReference w:customMarkFollows="0" w:id="5"/>
      </w:r>
      <w:r w:rsidDel="00000000" w:rsidR="00000000" w:rsidRPr="00000000">
        <w:rPr>
          <w:highlight w:val="white"/>
          <w:rtl w:val="0"/>
        </w:rPr>
        <w:t xml:space="preserve"> </w:t>
      </w:r>
      <w:r w:rsidDel="00000000" w:rsidR="00000000" w:rsidRPr="00000000">
        <w:rPr>
          <w:rtl w:val="0"/>
        </w:rPr>
        <w:t xml:space="preserve">для Беларуси.</w:t>
      </w:r>
    </w:p>
    <w:p w:rsidR="00000000" w:rsidDel="00000000" w:rsidP="00000000" w:rsidRDefault="00000000" w:rsidRPr="00000000" w14:paraId="00000008">
      <w:pPr>
        <w:jc w:val="both"/>
        <w:rPr/>
      </w:pPr>
      <w:bookmarkStart w:colFirst="0" w:colLast="0" w:name="_gjdgxs" w:id="0"/>
      <w:bookmarkEnd w:id="0"/>
      <w:r w:rsidDel="00000000" w:rsidR="00000000" w:rsidRPr="00000000">
        <w:rPr>
          <w:highlight w:val="white"/>
          <w:rtl w:val="0"/>
        </w:rPr>
        <w:t xml:space="preserve"> </w:t>
      </w:r>
      <w:r w:rsidDel="00000000" w:rsidR="00000000" w:rsidRPr="00000000">
        <w:rPr>
          <w:rtl w:val="0"/>
        </w:rPr>
        <w:t xml:space="preserve">В 2019 году Страновой офис ЮНФПА в Беларуси инициирует подготовку третьей Страновой программы (2021-2025 гг.). Для информационного обеспечения этого процесса необходимо провести более комплексную оценку двух предыдущих Страновых программ с 2010 по 2018 гг. Оценка будет проведена независимыми экспертами в сотрудничестве с Региональным офисом ЮНФПА для Восточной Европы и Центральной Азии, Управлением оценки ЮНФПА, а также национальными партнерами. Оценка Страновой программы является частью плана мониторинга и оценки Странового офиса и соответствует политике ЮНФПА в области оценки (DP/FPA/2013/5). Оценка Страновой программы ЮНФПА (ОСП) обеспечит независимую оценку актуальности, эффективности и воздействия помощи ЮНФПА, предоставленной Беларуси а также анализ различных сдерживающих факторов и факторов, облегчающих реализацию программ. Согласно политике в области оценки, у ОСП будет следующие три основные цели:</w:t>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продемонстрировать подотчетность заинтересованных сторон в достижении результатов в области развития и по инвестированным ресурсам;</w:t>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поддержать принятие научно обоснованных управленческих решений;</w:t>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внести вклад в существующую базу знаний о том, как ускорить осуществление Программы действий МКНР.</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Оценка будет сосредоточена на достижении запланированных результатов Cтрановой программы на уровне конечных показателей и результатов. Полученные данные, аналитические выводы и рекомендации ОСП будут использованы в качестве исходных ресурсов для разработки новой третьей Страновой программы (2021-2025 гг.) и информационного обеспечения подготовки Рамочной программы ООН по оказанию помощи Республике Беларусь в целях развития (ЮНДАФ) в 2019 году.</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Основная аудитория и основные пользователи оценки – Страновой офис ЮНФПА в Беларуси, национальные партнеры ЮНФПА (включая правительственные учреждения, организации гражданского общества, частный сектор и учреждения образования), Страновая группа ООН в Беларуси и доноры, осуществляющие деятельность в Беларуси. Региональный офис ЮНФПА для стран Восточной Европы и Центральной Азии, отделения и подразделения Штаб-квартиры ЮНФПА также будут использовать эту оценку в качестве объективной основы для обзора хода осуществления программ и принятия решений.</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Контактное лицо по оценке от Странового офиса ЮНФПА в Беларуси будет координировать проведение оценки под руководством и при поддержке Регионального советника ЮНФПА по мониторингу и оценке и Управления оценки ЮНФПА и в консультации с Контактной группой по оценке и сотрудниками Странового офиса. ОСП будет выполнена независимыми оценщиками, выбранными на конкурсной основе; независимые оценщики подготовят отчет об оценке.</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КОНТЕКСТ</w:t>
      </w:r>
    </w:p>
    <w:p w:rsidR="00000000" w:rsidDel="00000000" w:rsidP="00000000" w:rsidRDefault="00000000" w:rsidRPr="00000000" w14:paraId="00000015">
      <w:pPr>
        <w:rPr>
          <w:b w:val="1"/>
        </w:rPr>
      </w:pPr>
      <w:r w:rsidDel="00000000" w:rsidR="00000000" w:rsidRPr="00000000">
        <w:rPr>
          <w:b w:val="1"/>
          <w:rtl w:val="0"/>
        </w:rPr>
        <w:t xml:space="preserve">Профиль страны</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ind w:right="20"/>
        <w:jc w:val="both"/>
        <w:rPr/>
      </w:pPr>
      <w:r w:rsidDel="00000000" w:rsidR="00000000" w:rsidRPr="00000000">
        <w:rPr>
          <w:rtl w:val="0"/>
        </w:rPr>
        <w:t xml:space="preserve">Республика Беларусь является страной, не имеющей выхода к морю; страна имеет стратегическое географическое и геополитическое положение между Польшей, Латвией, Литвой, Украиной и Российской Федерацией. Беларусь добилась значительного прогресса в устойчивом развитии с момента обретения независимости и в 2016 году заняла 52-е место среди 188 стран в Докладе о человеческом развитии 2016</w:t>
      </w:r>
      <w:r w:rsidDel="00000000" w:rsidR="00000000" w:rsidRPr="00000000">
        <w:rPr>
          <w:vertAlign w:val="superscript"/>
          <w:rtl w:val="0"/>
        </w:rPr>
        <w:t xml:space="preserve">7</w:t>
      </w:r>
      <w:r w:rsidDel="00000000" w:rsidR="00000000" w:rsidRPr="00000000">
        <w:rPr>
          <w:rtl w:val="0"/>
        </w:rPr>
        <w:t xml:space="preserve">. Страна присоединилась к перечню стран с доходом выше среднего.</w:t>
      </w:r>
    </w:p>
    <w:p w:rsidR="00000000" w:rsidDel="00000000" w:rsidP="00000000" w:rsidRDefault="00000000" w:rsidRPr="00000000" w14:paraId="00000018">
      <w:pPr>
        <w:ind w:right="20"/>
        <w:jc w:val="both"/>
        <w:rPr/>
      </w:pPr>
      <w:r w:rsidDel="00000000" w:rsidR="00000000" w:rsidRPr="00000000">
        <w:rPr>
          <w:rtl w:val="0"/>
        </w:rPr>
      </w:r>
    </w:p>
    <w:p w:rsidR="00000000" w:rsidDel="00000000" w:rsidP="00000000" w:rsidRDefault="00000000" w:rsidRPr="00000000" w14:paraId="00000019">
      <w:pPr>
        <w:ind w:right="20"/>
        <w:jc w:val="both"/>
        <w:rPr/>
      </w:pPr>
      <w:r w:rsidDel="00000000" w:rsidR="00000000" w:rsidRPr="00000000">
        <w:rPr>
          <w:rtl w:val="0"/>
        </w:rPr>
        <w:t xml:space="preserve"> Беларусь имеет высокообразованную и квалифицированную рабочую силу. Процент населения, живущего за национальной чертой бедности, является низким по сравнению с другими развивающимися странами – 4,8 процента в 2014  году</w:t>
      </w:r>
      <w:r w:rsidDel="00000000" w:rsidR="00000000" w:rsidRPr="00000000">
        <w:rPr>
          <w:vertAlign w:val="superscript"/>
          <w:rtl w:val="0"/>
        </w:rPr>
        <w:t xml:space="preserve">8</w:t>
      </w:r>
      <w:r w:rsidDel="00000000" w:rsidR="00000000" w:rsidRPr="00000000">
        <w:rPr>
          <w:rtl w:val="0"/>
        </w:rPr>
        <w:t xml:space="preserve">. Тем не менее, в Беларуси есть группы населения, которые по-прежнему подвержены риску бедности, в том числе семьи с тремя или более детьми, семьи с одним родителем, люди старшего возраста, мигранты и беженцы, люди с инвалидностью.</w:t>
      </w:r>
    </w:p>
    <w:p w:rsidR="00000000" w:rsidDel="00000000" w:rsidP="00000000" w:rsidRDefault="00000000" w:rsidRPr="00000000" w14:paraId="0000001A">
      <w:pPr>
        <w:ind w:right="20"/>
        <w:jc w:val="both"/>
        <w:rPr/>
      </w:pPr>
      <w:r w:rsidDel="00000000" w:rsidR="00000000" w:rsidRPr="00000000">
        <w:rPr>
          <w:rtl w:val="0"/>
        </w:rPr>
      </w:r>
    </w:p>
    <w:p w:rsidR="00000000" w:rsidDel="00000000" w:rsidP="00000000" w:rsidRDefault="00000000" w:rsidRPr="00000000" w14:paraId="0000001B">
      <w:pPr>
        <w:ind w:right="20"/>
        <w:jc w:val="both"/>
        <w:rPr/>
      </w:pPr>
      <w:r w:rsidDel="00000000" w:rsidR="00000000" w:rsidRPr="00000000">
        <w:rPr>
          <w:rtl w:val="0"/>
        </w:rPr>
        <w:t xml:space="preserve">Население Беларуси – 9,5 млн.</w:t>
      </w:r>
      <w:r w:rsidDel="00000000" w:rsidR="00000000" w:rsidRPr="00000000">
        <w:rPr>
          <w:vertAlign w:val="superscript"/>
          <w:rtl w:val="0"/>
        </w:rPr>
        <w:t xml:space="preserve">9</w:t>
      </w:r>
      <w:r w:rsidDel="00000000" w:rsidR="00000000" w:rsidRPr="00000000">
        <w:rPr>
          <w:rtl w:val="0"/>
        </w:rPr>
        <w:t xml:space="preserve"> человек и сталкивается с естественным снижением численности населения, несмотря на положительные тенденции рождаемости и долголетия. Данное снижение является результатом демографических тенденций, наблюдаемых в развитии страны со времен Второй мировой войны, а также из-за реакции населения на экономический кризис и ухудшения условий жизни в 1990-х годах. В 2014 году суммарный коэффициент рождаемости составил 1,7 ребенка на одну женщину</w:t>
      </w:r>
      <w:r w:rsidDel="00000000" w:rsidR="00000000" w:rsidRPr="00000000">
        <w:rPr>
          <w:vertAlign w:val="superscript"/>
          <w:rtl w:val="0"/>
        </w:rPr>
        <w:t xml:space="preserve">10</w:t>
      </w:r>
      <w:r w:rsidDel="00000000" w:rsidR="00000000" w:rsidRPr="00000000">
        <w:rPr>
          <w:rtl w:val="0"/>
        </w:rPr>
        <w:t xml:space="preserve">. </w:t>
      </w:r>
    </w:p>
    <w:p w:rsidR="00000000" w:rsidDel="00000000" w:rsidP="00000000" w:rsidRDefault="00000000" w:rsidRPr="00000000" w14:paraId="0000001C">
      <w:pPr>
        <w:ind w:right="20"/>
        <w:jc w:val="both"/>
        <w:rPr/>
      </w:pPr>
      <w:r w:rsidDel="00000000" w:rsidR="00000000" w:rsidRPr="00000000">
        <w:rPr>
          <w:rtl w:val="0"/>
        </w:rPr>
      </w:r>
    </w:p>
    <w:p w:rsidR="00000000" w:rsidDel="00000000" w:rsidP="00000000" w:rsidRDefault="00000000" w:rsidRPr="00000000" w14:paraId="0000001D">
      <w:pPr>
        <w:ind w:right="20"/>
        <w:jc w:val="both"/>
        <w:rPr/>
      </w:pPr>
      <w:r w:rsidDel="00000000" w:rsidR="00000000" w:rsidRPr="00000000">
        <w:rPr>
          <w:rtl w:val="0"/>
        </w:rPr>
        <w:t xml:space="preserve">Несмотря на снижение коэффициента материнской смертности, ухудшилось здоровье женщин и матерей. В 2016 году было зарегистрировано 153 308 случаев осложнений в перинатальный период (включая роды) на 116 935 живорожденных. Министерство здравоохранения разрабатывает национальную стратегию в области репродуктивного здоровья и готово пересмотреть протоколы в области репродуктивного здоровья для обеспечения их соответствия международным стандартам и рекомендациям Всемирной организации здравоохранения (ВОЗ).</w:t>
      </w:r>
    </w:p>
    <w:p w:rsidR="00000000" w:rsidDel="00000000" w:rsidP="00000000" w:rsidRDefault="00000000" w:rsidRPr="00000000" w14:paraId="0000001E">
      <w:pPr>
        <w:ind w:right="20"/>
        <w:jc w:val="both"/>
        <w:rPr/>
      </w:pPr>
      <w:r w:rsidDel="00000000" w:rsidR="00000000" w:rsidRPr="00000000">
        <w:rPr>
          <w:rtl w:val="0"/>
        </w:rPr>
      </w:r>
    </w:p>
    <w:p w:rsidR="00000000" w:rsidDel="00000000" w:rsidP="00000000" w:rsidRDefault="00000000" w:rsidRPr="00000000" w14:paraId="0000001F">
      <w:pPr>
        <w:ind w:right="20"/>
        <w:jc w:val="both"/>
        <w:rPr/>
      </w:pPr>
      <w:r w:rsidDel="00000000" w:rsidR="00000000" w:rsidRPr="00000000">
        <w:rPr>
          <w:rtl w:val="0"/>
        </w:rPr>
        <w:t xml:space="preserve">Улучшение доступа к услугам по планированию семьи и повышение их качества способствовало сокращению числа абортов с 46 абортов на 1000 женщин в возрасте 15- 49 лет в 2000 году до 12,2 на 1000 женщин в 2016 году. Однако нет постоянного учета коэффициента использования противозачаточных средств среди женщин.</w:t>
      </w:r>
    </w:p>
    <w:p w:rsidR="00000000" w:rsidDel="00000000" w:rsidP="00000000" w:rsidRDefault="00000000" w:rsidRPr="00000000" w14:paraId="00000020">
      <w:pPr>
        <w:ind w:right="20"/>
        <w:jc w:val="both"/>
        <w:rPr/>
      </w:pPr>
      <w:r w:rsidDel="00000000" w:rsidR="00000000" w:rsidRPr="00000000">
        <w:rPr>
          <w:rtl w:val="0"/>
        </w:rPr>
      </w:r>
    </w:p>
    <w:p w:rsidR="00000000" w:rsidDel="00000000" w:rsidP="00000000" w:rsidRDefault="00000000" w:rsidRPr="00000000" w14:paraId="00000021">
      <w:pPr>
        <w:ind w:right="20"/>
        <w:jc w:val="both"/>
        <w:rPr/>
      </w:pPr>
      <w:r w:rsidDel="00000000" w:rsidR="00000000" w:rsidRPr="00000000">
        <w:rPr>
          <w:rtl w:val="0"/>
        </w:rPr>
        <w:t xml:space="preserve">В 2017 году молодежь в возрасте 15-24 лет составляла 10 процентов населения. Молодежь остается наиболее уязвимой группой в области сексуального и репродуктивного здоровья. В 2016 году 20% медикаментозных абортов в стране было сделано у молодых женщин в возрасте 15-24 лет. Эпидемия ВИЧ в Беларуси имеет низкий уровень распространенности среди общего населения (0,2 процента в 2017 году) среди ключевых затронутых групп населения наблюдаются более высокие показатели. Сексуальный контакт остается основным способом заражения – 62 процентов в 2017 году. Ответные меры государства в связи с ВИЧ регулируется Государственной программой профилактики ВИЧ-инфекции. В дополнение к усилиям Глобального фонда по борьбе со СПИДом, туберкулезом и малярией и других организаций системы Организации Объединенных Наций необходимо уделять больше внимания профилактике ВИЧ среди ключевых групп населения. Повышение уровня осведомленности молодежи о безопасном сексуальном поведении важно для предотвращения нежелательных беременностей, особенно среди подростков, а также передачи ВИЧ-инфекции половым путем и других заболеваний, передающихся половым путем.</w:t>
      </w:r>
    </w:p>
    <w:p w:rsidR="00000000" w:rsidDel="00000000" w:rsidP="00000000" w:rsidRDefault="00000000" w:rsidRPr="00000000" w14:paraId="00000022">
      <w:pPr>
        <w:ind w:right="20"/>
        <w:jc w:val="both"/>
        <w:rPr/>
      </w:pPr>
      <w:r w:rsidDel="00000000" w:rsidR="00000000" w:rsidRPr="00000000">
        <w:rPr>
          <w:rtl w:val="0"/>
        </w:rPr>
      </w:r>
    </w:p>
    <w:p w:rsidR="00000000" w:rsidDel="00000000" w:rsidP="00000000" w:rsidRDefault="00000000" w:rsidRPr="00000000" w14:paraId="00000023">
      <w:pPr>
        <w:ind w:right="20"/>
        <w:jc w:val="both"/>
        <w:rPr/>
      </w:pPr>
      <w:r w:rsidDel="00000000" w:rsidR="00000000" w:rsidRPr="00000000">
        <w:rPr>
          <w:rtl w:val="0"/>
        </w:rPr>
        <w:t xml:space="preserve">В 2017 году ожидаемая продолжительность жизни при рождении составила 69,3 лет для мужчин и 79,2 лет для женщин</w:t>
      </w:r>
      <w:r w:rsidDel="00000000" w:rsidR="00000000" w:rsidRPr="00000000">
        <w:rPr>
          <w:vertAlign w:val="superscript"/>
          <w:rtl w:val="0"/>
        </w:rPr>
        <w:t xml:space="preserve">11</w:t>
      </w:r>
      <w:r w:rsidDel="00000000" w:rsidR="00000000" w:rsidRPr="00000000">
        <w:rPr>
          <w:rtl w:val="0"/>
        </w:rPr>
        <w:t xml:space="preserve">.</w:t>
      </w:r>
      <w:r w:rsidDel="00000000" w:rsidR="00000000" w:rsidRPr="00000000">
        <w:rPr>
          <w:vertAlign w:val="superscript"/>
          <w:rtl w:val="0"/>
        </w:rPr>
        <w:t xml:space="preserve"> </w:t>
      </w:r>
      <w:r w:rsidDel="00000000" w:rsidR="00000000" w:rsidRPr="00000000">
        <w:rPr>
          <w:rtl w:val="0"/>
        </w:rPr>
        <w:t xml:space="preserve">Разрыв в ожидаемой продолжительности жизни между мужчинами и женщинами выше в сельской местности. По расчетам, в 2018 году 23,31 процента населения будет старше трудоспособного возраста. В Беларуси необходимо разработать согласованную политику по вопросам людей старшего возраста в соответствии с Мадридским международным планом действий</w:t>
      </w:r>
      <w:r w:rsidDel="00000000" w:rsidR="00000000" w:rsidRPr="00000000">
        <w:rPr>
          <w:vertAlign w:val="superscript"/>
          <w:rtl w:val="0"/>
        </w:rPr>
        <w:t xml:space="preserve">12</w:t>
      </w:r>
      <w:r w:rsidDel="00000000" w:rsidR="00000000" w:rsidRPr="00000000">
        <w:rPr>
          <w:rtl w:val="0"/>
        </w:rPr>
        <w:t xml:space="preserve"> с целью укрепления национального потенциала в этой области. Правительство признает важность и актуальность демографической проблемы и предложило законодательную основу, которая направлена на решение этой проблемы. Закон о демографической безопасности был принят в 2002 году и осуществляется посредством Национальных программ демографической безопасности. </w:t>
      </w:r>
    </w:p>
    <w:p w:rsidR="00000000" w:rsidDel="00000000" w:rsidP="00000000" w:rsidRDefault="00000000" w:rsidRPr="00000000" w14:paraId="00000024">
      <w:pPr>
        <w:ind w:right="20"/>
        <w:jc w:val="both"/>
        <w:rPr/>
      </w:pPr>
      <w:r w:rsidDel="00000000" w:rsidR="00000000" w:rsidRPr="00000000">
        <w:rPr>
          <w:rtl w:val="0"/>
        </w:rPr>
      </w:r>
    </w:p>
    <w:p w:rsidR="00000000" w:rsidDel="00000000" w:rsidP="00000000" w:rsidRDefault="00000000" w:rsidRPr="00000000" w14:paraId="00000025">
      <w:pPr>
        <w:ind w:right="20"/>
        <w:jc w:val="both"/>
        <w:rPr/>
      </w:pPr>
      <w:r w:rsidDel="00000000" w:rsidR="00000000" w:rsidRPr="00000000">
        <w:rPr>
          <w:rtl w:val="0"/>
        </w:rPr>
        <w:t xml:space="preserve">В соответствии с рейтингом ВОЗ в 2000 году система здравоохранения в Беларуси была на 53 позиции из 190 стран; было отмечено, что общая система здравоохранения страны является одной из лучших в данном регионе. Однако Беларуси следует рассмотреть вопрос о проведении реформы здравоохранения для обеспечения эффективности и усиления мер по профилактике заболеваний и укрепления первичной медико-санитарной помощи. Стране также рекомендуется увеличить долю врачей общей практики и врачей системы первичной медицинской помощи.</w:t>
      </w:r>
    </w:p>
    <w:p w:rsidR="00000000" w:rsidDel="00000000" w:rsidP="00000000" w:rsidRDefault="00000000" w:rsidRPr="00000000" w14:paraId="00000026">
      <w:pPr>
        <w:ind w:right="20"/>
        <w:jc w:val="both"/>
        <w:rPr/>
      </w:pPr>
      <w:r w:rsidDel="00000000" w:rsidR="00000000" w:rsidRPr="00000000">
        <w:rPr>
          <w:rtl w:val="0"/>
        </w:rPr>
      </w:r>
    </w:p>
    <w:p w:rsidR="00000000" w:rsidDel="00000000" w:rsidP="00000000" w:rsidRDefault="00000000" w:rsidRPr="00000000" w14:paraId="00000027">
      <w:pPr>
        <w:ind w:right="20"/>
        <w:jc w:val="both"/>
        <w:rPr/>
      </w:pPr>
      <w:r w:rsidDel="00000000" w:rsidR="00000000" w:rsidRPr="00000000">
        <w:rPr>
          <w:rtl w:val="0"/>
        </w:rPr>
        <w:t xml:space="preserve">Неинфекционные заболевания представляют собой серьезную проблему для качества жизни белорусов. Согласно официальным статистическим данным, в 2017 году смертность составила 1256,1 на 100 000 человек, из которых 907,7 смертей (75 процентов) были вызваны неинфекционными заболеваниями. Пропорциональная смертность (процент от общего числа смертей) от рака составила 16 процентов. За последнее десятилетие (2005-2015 гг.) число случаев рака молочной железы увеличилось на 35 процентов. Коэффициент смертности от рака шейки матки в Беларуси в настоящее время составляет 6,8 на 100 000 в год. Основной причиной высокой смертности от рака молочной железы и шейки матки является отсутствие комплексных программ скрининга для раннего выявления. Пилотные проекты программ скрининга в настоящее время проводятся только в Минске.</w:t>
      </w:r>
    </w:p>
    <w:p w:rsidR="00000000" w:rsidDel="00000000" w:rsidP="00000000" w:rsidRDefault="00000000" w:rsidRPr="00000000" w14:paraId="00000028">
      <w:pPr>
        <w:ind w:right="20"/>
        <w:jc w:val="both"/>
        <w:rPr/>
      </w:pPr>
      <w:r w:rsidDel="00000000" w:rsidR="00000000" w:rsidRPr="00000000">
        <w:rPr>
          <w:rtl w:val="0"/>
        </w:rPr>
      </w:r>
    </w:p>
    <w:p w:rsidR="00000000" w:rsidDel="00000000" w:rsidP="00000000" w:rsidRDefault="00000000" w:rsidRPr="00000000" w14:paraId="00000029">
      <w:pPr>
        <w:ind w:right="20"/>
        <w:jc w:val="both"/>
        <w:rPr/>
      </w:pPr>
      <w:r w:rsidDel="00000000" w:rsidR="00000000" w:rsidRPr="00000000">
        <w:rPr>
          <w:rtl w:val="0"/>
        </w:rPr>
        <w:t xml:space="preserve">Беларусь добилась прогресса в выполнении международных договорных обязательств в области прав человека, включая Конвенцию о ликвидации всех форм дискриминации в отношении женщин. Согласно Глобальному Докладу ПРООН о человеческом развитии за 2014 год</w:t>
      </w:r>
      <w:r w:rsidDel="00000000" w:rsidR="00000000" w:rsidRPr="00000000">
        <w:rPr>
          <w:vertAlign w:val="superscript"/>
          <w:rtl w:val="0"/>
        </w:rPr>
        <w:t xml:space="preserve">13</w:t>
      </w:r>
      <w:r w:rsidDel="00000000" w:rsidR="00000000" w:rsidRPr="00000000">
        <w:rPr>
          <w:rtl w:val="0"/>
        </w:rPr>
        <w:t xml:space="preserve"> Беларусь занимает 32 место в мире по индексу человеческого развития с учётом гендерного фактора (gender-related development index) и 28 место по индексу гендерного равенства (gender equality index). Однако гендерное неравенство сохраняется. Женщины сталкиваются с разрывом в размере зарплат (до 25 процентов) по сравнению с мужчинами; женщины недостаточно представлены на руководящих должностях; участие мужчин в уходе за детьми и домашних обязанностях ограничено. Существующие гендерные стереотипы в значительной степени способствуют гендерной дискриминации, в том числе домашнему насилию. Несмотря на достигнутый прогресс, домашнее насилие по-прежнему широко распространено и данные о таких преступлениях на практике могут оказаться заниженными. При этом почти каждая третья опрошенная женщина и каждый четвертый опрошенный мужчина подвергается физическому насилию. Женщины, люди старшего возраста и мигранты особенно уязвимы к домашнему насилию. Эффективный национальный механизм межсекторального реагирования для предотвращения и противодействия домашнему насилию еще не создан. Необходимо укрепить потенциал ключевых поставщиков услуг для обеспечения реализации ответных мер на гендерное насилие; нет отдельного закона о домашнем насилии. Национальные усилия по решению проблем гендерного неравенства и гендерного насилия нуждаются в дальнейшей поддержке.  </w:t>
      </w:r>
    </w:p>
    <w:p w:rsidR="00000000" w:rsidDel="00000000" w:rsidP="00000000" w:rsidRDefault="00000000" w:rsidRPr="00000000" w14:paraId="0000002A">
      <w:pPr>
        <w:ind w:right="20"/>
        <w:jc w:val="both"/>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Общая информация о Страновой программе ЮНФПА</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jc w:val="both"/>
        <w:rPr/>
      </w:pPr>
      <w:r w:rsidDel="00000000" w:rsidR="00000000" w:rsidRPr="00000000">
        <w:rPr>
          <w:rtl w:val="0"/>
        </w:rPr>
        <w:t xml:space="preserve">Правовое основание для отношений между Правительством Республики Беларусь и Организацией Объединенных Наций было подписано в мае 1992 года. ЮНФПА начал предоставлять помощь Беларуси в 1994 году.</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b w:val="1"/>
        </w:rPr>
      </w:pPr>
      <w:r w:rsidDel="00000000" w:rsidR="00000000" w:rsidRPr="00000000">
        <w:rPr>
          <w:b w:val="1"/>
          <w:rtl w:val="0"/>
        </w:rPr>
        <w:t xml:space="preserve">Первая Страновая Программа (2011-2015)</w:t>
      </w:r>
    </w:p>
    <w:p w:rsidR="00000000" w:rsidDel="00000000" w:rsidP="00000000" w:rsidRDefault="00000000" w:rsidRPr="00000000" w14:paraId="00000030">
      <w:pPr>
        <w:jc w:val="both"/>
        <w:rPr/>
      </w:pPr>
      <w:r w:rsidDel="00000000" w:rsidR="00000000" w:rsidRPr="00000000">
        <w:rPr>
          <w:rtl w:val="0"/>
        </w:rPr>
        <w:t xml:space="preserve">В 2011-2015 годах Фонд осуществил первую страновую программу для Беларуси, которая охватывала три основные направления: сексуальное и репродуктивное здоровье и права, народонаселение и развитие, гендерное равенство. Утвержденный бюджет составил в общей сложности 3,7 млн. долл. США: 2,3 млн. долл. США регулярных ресурсов и 1,4 млн. долл. США других ресурсов. В программе предусмотрены регулярные источники и другие источники для каждого компонента: 0,9 млн. долл. США для компонента по сексуальному и репродуктивному здоровью и правам, 1 млн. долл. США для компонента по гендерному равенству и 1,5 млн. долл. США для компонента по народонаселению и развитию. Первая программа была утверждена Исполнительным советом ПРООН/ЮНФПА/ЮНОПС на его второй очередной сессии в 2010 году.</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Правительство и ЮНФПА реализуют эту программу в трех основных направлениях деятельности ЮНФПА: a) репродуктивное здоровье и права; б) народонаселение и развитие; и в) гендерное равенство.</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Страновая программа способствовала осуществлению трех из пяти итогов ЮНДАФ</w:t>
      </w:r>
      <w:r w:rsidDel="00000000" w:rsidR="00000000" w:rsidRPr="00000000">
        <w:rPr>
          <w:vertAlign w:val="superscript"/>
          <w:rtl w:val="0"/>
        </w:rPr>
        <w:t xml:space="preserve">14</w:t>
      </w:r>
      <w:r w:rsidDel="00000000" w:rsidR="00000000" w:rsidRPr="00000000">
        <w:rPr>
          <w:rtl w:val="0"/>
        </w:rPr>
        <w:t xml:space="preserve"> (2011-2015 гг.): (a) устойчивость социально-экономического развития; (б) защита от рисков, наносящих вред здоровью; и (в) эффективность системы государственного управления. Результаты и итоги страновой программы ЮНФПА взаимосвязаны с ЮНДАФ.</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b w:val="1"/>
          <w:rtl w:val="0"/>
        </w:rPr>
        <w:t xml:space="preserve">Вторая Страновая Программа (2016-2020)</w:t>
      </w:r>
    </w:p>
    <w:p w:rsidR="00000000" w:rsidDel="00000000" w:rsidP="00000000" w:rsidRDefault="00000000" w:rsidRPr="00000000" w14:paraId="00000037">
      <w:pPr>
        <w:jc w:val="both"/>
        <w:rPr/>
      </w:pPr>
      <w:r w:rsidDel="00000000" w:rsidR="00000000" w:rsidRPr="00000000">
        <w:rPr>
          <w:rtl w:val="0"/>
        </w:rPr>
        <w:t xml:space="preserve">Вторая программа была утверждена Исполнительным советом ПРООН/ЮНФПА/ЮНОПС на его второй очередной сессии в сентябре 2015 года. Страновая программа была утверждена Советом Министров Республики Беларусь 23 марта 2016 года. Программа охватывает 2016-2020 годы. Финансовое обязательство ЮНФПА на 5 лет реализации программы утверждено в размере 3,7 млн. долл. США: 1,5 млн. долл. США регулярных ресурсов и 2,2 млн. долл. США за счет механизмов со-финансирования и/или других ресурсов, включая регулярные ресурсы. В программе предусмотрены регулярные источники и другие источники для каждого компонента: 0,9 млн. долл. США для компонента по сексуальному и репродуктивному здоровью и правам, 1,1 млн. долл. США для компонента по гендерному равенству и 1,5 млн. долл. США для компонента по народонаселению и развитию.</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Вторая страновая программа направлена на: 1) Укрепление политики и национального потенциала для предоставления интегрированной информации и услуг в области сексуального репродуктивного здоровья с уделением особого внимания уязвимым группам, 2) Укрепление национального законодательства, политики и межсекторальных механизмов для усиления комплексного и скоординированного реагирования на гендерное насилие с акцентом на бытовое насилие, 3) Укрепление национального потенциала для обеспечения соответствия национальной политики международным обязательствам по продвижению гендерного равенства, и 4) Укрепление национального институционального потенциала для разработки и реализации основанной на правах политики, которая объединяет данные о динамике народонаселения и их ссылки на устойчивое развитие.</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Страновая программа способствует осуществлению двух из четырех приоритетных направлений ЮНДАФ 1) Инклюзивное, оперативное и подотчетное государственное управление 2) Устойчивое развитие человеческого капитала: здравоохранение, образование, социальная включенность и защита, комплексное постчернобыльское развитие. В рамках этих двух приоритетных направлений ЮНФПА вносит свой вклад в достижение шести различных результатов: а) эффективное партнерство между гражданским обществом и частным сектором; б) реагирование государственных учреждений; в) укрепление системы здравоохранения г) доступ к профилактике, диагностике, лечению и уходу в связи с инфекционными заболеваниями; д) доступ к здравоохранению и е) система обеспечения безопасности жизни детей и взрослых (см. более подробную информацию по каждому результату 1.1, 1.2, 4.1, 4.2, 4.3 и 4.4)</w:t>
      </w:r>
      <w:r w:rsidDel="00000000" w:rsidR="00000000" w:rsidRPr="00000000">
        <w:rPr>
          <w:vertAlign w:val="superscript"/>
          <w:rtl w:val="0"/>
        </w:rPr>
        <w:t xml:space="preserve">15</w:t>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Разработка первой Страновой программы основывалась на Стратегическом плане (СП) ЮНФПА на 2008-2013 гг.</w:t>
      </w:r>
      <w:r w:rsidDel="00000000" w:rsidR="00000000" w:rsidRPr="00000000">
        <w:rPr>
          <w:vertAlign w:val="superscript"/>
          <w:rtl w:val="0"/>
        </w:rPr>
        <w:t xml:space="preserve">16</w:t>
      </w:r>
      <w:r w:rsidDel="00000000" w:rsidR="00000000" w:rsidRPr="00000000">
        <w:rPr>
          <w:rtl w:val="0"/>
        </w:rPr>
        <w:t xml:space="preserve">, а вторая – на Стратегическом плане ЮНФПА на 2014-2017 гг., СП на 2018-2021 гг.</w:t>
      </w:r>
      <w:r w:rsidDel="00000000" w:rsidR="00000000" w:rsidRPr="00000000">
        <w:rPr>
          <w:vertAlign w:val="superscript"/>
          <w:rtl w:val="0"/>
        </w:rPr>
        <w:t xml:space="preserve">17</w:t>
      </w:r>
      <w:r w:rsidDel="00000000" w:rsidR="00000000" w:rsidRPr="00000000">
        <w:rPr>
          <w:rtl w:val="0"/>
        </w:rPr>
        <w:t xml:space="preserve"> В планах были определены три обширные программные области: репродуктивное здоровье и права, народонаселение и развитие, а также гендерное равенство.</w:t>
      </w:r>
    </w:p>
    <w:p w:rsidR="00000000" w:rsidDel="00000000" w:rsidP="00000000" w:rsidRDefault="00000000" w:rsidRPr="00000000" w14:paraId="0000003E">
      <w:pPr>
        <w:jc w:val="both"/>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Управление Страновой программой ЮНФПА</w:t>
      </w:r>
    </w:p>
    <w:p w:rsidR="00000000" w:rsidDel="00000000" w:rsidP="00000000" w:rsidRDefault="00000000" w:rsidRPr="00000000" w14:paraId="00000040">
      <w:pPr>
        <w:jc w:val="both"/>
        <w:rPr/>
      </w:pPr>
      <w:r w:rsidDel="00000000" w:rsidR="00000000" w:rsidRPr="00000000">
        <w:rPr>
          <w:rtl w:val="0"/>
        </w:rPr>
        <w:t xml:space="preserve">Страновой офис ЮНФПА в Беларуси управляет Страновой программой; Представитель ЮНФПА и Заместитель Представителя исполняют лидирующую роль; Региональный офис ЮНФПА для стран Восточной Европы и Центральной Азии предоставляет руководящие указания и консультативную поддержку. В штат программных сотрудников Странового офиса входят координаторы программ по вопросам сексуального и репродуктивного здоровья и молодежи, гендерного равенства, специалист по партнерству, ассистент по программным вопросам и специалист по связям с общественностью. Административный персонал представлен старшим специалистом по административным и финансовым вопросам и техническим помощником. Кроме того, сотрудники различных проектов вносят свой вклад в программные и административные вопросы. Программа координируется с работой других агентств ООН в рамках совещаний Страновой группы ООН (СГООН) и различных рабочих групп ООН.</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Обе Страновые программы осуществлялись(ются) как с помощью режима прямого исполнения (DEX), так и с помощью режима национального исполнения (NEX). Режим DEX подразумевает, что Страновой офис ЮНФПА в Беларуси осуществляет программные мероприятия в ходе консультаций с национальными партнерами, в то время как режим NEX используется, когда ЮНФПА предоставляет средства Правительству, НГО или учреждению образования для реализации одного или нескольких ключевых показателей программы. Эти программы в основном ориентированы на сотрудничество с правительственными и неправительственными партнерами на центральном уровне.</w:t>
      </w:r>
    </w:p>
    <w:p w:rsidR="00000000" w:rsidDel="00000000" w:rsidP="00000000" w:rsidRDefault="00000000" w:rsidRPr="00000000" w14:paraId="00000043">
      <w:pPr>
        <w:jc w:val="both"/>
        <w:rPr>
          <w:b w:val="1"/>
        </w:rPr>
      </w:pP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b w:val="1"/>
          <w:rtl w:val="0"/>
        </w:rPr>
        <w:t xml:space="preserve">СФЕРА И ЗАДАЧИ ОЦЕНКИ</w:t>
      </w:r>
    </w:p>
    <w:p w:rsidR="00000000" w:rsidDel="00000000" w:rsidP="00000000" w:rsidRDefault="00000000" w:rsidRPr="00000000" w14:paraId="00000046">
      <w:pPr>
        <w:jc w:val="both"/>
        <w:rPr>
          <w:b w:val="1"/>
        </w:rPr>
      </w:pPr>
      <w:r w:rsidDel="00000000" w:rsidR="00000000" w:rsidRPr="00000000">
        <w:rPr>
          <w:rtl w:val="0"/>
        </w:rPr>
      </w:r>
    </w:p>
    <w:p w:rsidR="00000000" w:rsidDel="00000000" w:rsidP="00000000" w:rsidRDefault="00000000" w:rsidRPr="00000000" w14:paraId="00000047">
      <w:pPr>
        <w:jc w:val="both"/>
        <w:rPr>
          <w:b w:val="1"/>
        </w:rPr>
      </w:pPr>
      <w:r w:rsidDel="00000000" w:rsidR="00000000" w:rsidRPr="00000000">
        <w:rPr>
          <w:b w:val="1"/>
          <w:rtl w:val="0"/>
        </w:rPr>
        <w:t xml:space="preserve">Объекты оценки:</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Оценка Страновой программы будет способствовать подотчетности ЮНФПА за результаты, анализу актуальности и результативности Страновых программ ЮНФПА для Беларуси на 2011-2015 годы, а также 2016-2018 годы второго программного цикла (2016-2020 годы). Также оценка в ходе ее проведения улучшит стратегическое позиционирование Странового офиса ЮНФПА в Беларуси, обеспечит накопление организационного опыта и поддержку научно обоснованной программной деятельности.</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ОСП оценит вклад программы в достижение результатов в области развития на страновом уровне, включая сдерживающие факторы и факторы, облегчающие разработку и осуществление программ. В ходе оценки будет применяться соответствующая методология оценки справедливости и уязвимости, гендерного равенства и прав человека в программах. Она будет основываться на руководящих принципах, нормах и стандартах для оценок, принятых ЮНФПА, и будет использовать конкретные критерии оценки и вопросы оценки.</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b w:val="1"/>
        </w:rPr>
      </w:pPr>
      <w:r w:rsidDel="00000000" w:rsidR="00000000" w:rsidRPr="00000000">
        <w:rPr>
          <w:b w:val="1"/>
          <w:rtl w:val="0"/>
        </w:rPr>
        <w:t xml:space="preserve">Общие задачи оценки:</w:t>
      </w:r>
    </w:p>
    <w:p w:rsidR="00000000" w:rsidDel="00000000" w:rsidP="00000000" w:rsidRDefault="00000000" w:rsidRPr="00000000" w14:paraId="0000004E">
      <w:pPr>
        <w:numPr>
          <w:ilvl w:val="0"/>
          <w:numId w:val="5"/>
        </w:numPr>
        <w:ind w:left="720" w:hanging="360"/>
        <w:jc w:val="both"/>
        <w:rPr/>
      </w:pPr>
      <w:r w:rsidDel="00000000" w:rsidR="00000000" w:rsidRPr="00000000">
        <w:rPr>
          <w:rtl w:val="0"/>
        </w:rPr>
        <w:t xml:space="preserve">Укрепление подотчетности ЮНФПА своим донорам, партнерам и другим заинтересованным сторонам в отношении актуальности и эффективности Страновой программы;</w:t>
      </w:r>
    </w:p>
    <w:p w:rsidR="00000000" w:rsidDel="00000000" w:rsidP="00000000" w:rsidRDefault="00000000" w:rsidRPr="00000000" w14:paraId="0000004F">
      <w:pPr>
        <w:numPr>
          <w:ilvl w:val="0"/>
          <w:numId w:val="5"/>
        </w:numPr>
        <w:ind w:left="720" w:hanging="360"/>
        <w:jc w:val="both"/>
        <w:rPr/>
      </w:pPr>
      <w:r w:rsidDel="00000000" w:rsidR="00000000" w:rsidRPr="00000000">
        <w:rPr>
          <w:rtl w:val="0"/>
        </w:rPr>
        <w:t xml:space="preserve">Расширение базы фактических данных, включая извлеченные уроки и практические рекомендации, для информационного обеспечения третьего программного цикла (2021-2025) и подготовки ЮНДАФ в 2019 году.</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Результаты ОСП также предоставят информационное обеспечение текущей программе и позволят ее улучшить, а также помогут ЮНФПА обеспечить лучшее соответствие организации поставленной цели. На пути к достижению общих задач оценка будет иметь следующие конкретные задачи:</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numPr>
          <w:ilvl w:val="0"/>
          <w:numId w:val="5"/>
        </w:numPr>
        <w:ind w:left="720" w:hanging="360"/>
        <w:jc w:val="both"/>
        <w:rPr/>
      </w:pPr>
      <w:r w:rsidDel="00000000" w:rsidR="00000000" w:rsidRPr="00000000">
        <w:rPr>
          <w:rtl w:val="0"/>
        </w:rPr>
        <w:t xml:space="preserve">Предоставить национальным заинтересованным сторонам ЮНФПА, Страновому офису ЮНФПА в Беларуси, РО ЮНФПА для ВЕЦА, Штаб-квартире ЮНФПА, а также широкой аудитории независимую оценку актуальности и эффективности в отношении ожидаемых результатов и итогов, указанных в рамках результатов и ресурсов страновых программ;</w:t>
      </w:r>
    </w:p>
    <w:p w:rsidR="00000000" w:rsidDel="00000000" w:rsidP="00000000" w:rsidRDefault="00000000" w:rsidRPr="00000000" w14:paraId="00000054">
      <w:pPr>
        <w:numPr>
          <w:ilvl w:val="0"/>
          <w:numId w:val="5"/>
        </w:numPr>
        <w:ind w:left="720" w:hanging="360"/>
        <w:jc w:val="both"/>
        <w:rPr/>
      </w:pPr>
      <w:r w:rsidDel="00000000" w:rsidR="00000000" w:rsidRPr="00000000">
        <w:rPr>
          <w:rtl w:val="0"/>
        </w:rPr>
        <w:t xml:space="preserve">Обеспечить оценку положения Странового офиса ЮНФПА в сообществе  национальных партнеров и партнеров в области развития в отношении его способности реагировать на национальные потребности и обеспечивать вклад в развитие страны; </w:t>
      </w:r>
    </w:p>
    <w:p w:rsidR="00000000" w:rsidDel="00000000" w:rsidP="00000000" w:rsidRDefault="00000000" w:rsidRPr="00000000" w14:paraId="00000055">
      <w:pPr>
        <w:numPr>
          <w:ilvl w:val="0"/>
          <w:numId w:val="5"/>
        </w:numPr>
        <w:ind w:left="720" w:hanging="360"/>
        <w:jc w:val="both"/>
        <w:rPr/>
      </w:pPr>
      <w:r w:rsidDel="00000000" w:rsidR="00000000" w:rsidRPr="00000000">
        <w:rPr>
          <w:rtl w:val="0"/>
        </w:rPr>
        <w:t xml:space="preserve">Подытожить основные извлеченные уроки прошлого и текущего сотрудничества и предоставить набор четких, конкретных и применимых стратегических рекомендаций для следующего программного цикла.</w:t>
      </w:r>
    </w:p>
    <w:p w:rsidR="00000000" w:rsidDel="00000000" w:rsidP="00000000" w:rsidRDefault="00000000" w:rsidRPr="00000000" w14:paraId="00000056">
      <w:pPr>
        <w:jc w:val="both"/>
        <w:rPr>
          <w:b w:val="1"/>
        </w:rPr>
      </w:pPr>
      <w:r w:rsidDel="00000000" w:rsidR="00000000" w:rsidRPr="00000000">
        <w:rPr>
          <w:rtl w:val="0"/>
        </w:rPr>
      </w:r>
    </w:p>
    <w:p w:rsidR="00000000" w:rsidDel="00000000" w:rsidP="00000000" w:rsidRDefault="00000000" w:rsidRPr="00000000" w14:paraId="00000057">
      <w:pPr>
        <w:jc w:val="both"/>
        <w:rPr>
          <w:b w:val="1"/>
        </w:rPr>
      </w:pPr>
      <w:r w:rsidDel="00000000" w:rsidR="00000000" w:rsidRPr="00000000">
        <w:rPr>
          <w:b w:val="1"/>
          <w:rtl w:val="0"/>
        </w:rPr>
        <w:t xml:space="preserve">Объем оценки: </w:t>
      </w:r>
    </w:p>
    <w:p w:rsidR="00000000" w:rsidDel="00000000" w:rsidP="00000000" w:rsidRDefault="00000000" w:rsidRPr="00000000" w14:paraId="00000058">
      <w:pPr>
        <w:jc w:val="both"/>
        <w:rPr>
          <w:b w:val="1"/>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Оценка будет охватывать все мероприятия, запланированные и/или осуществленные в период 2010-2018 годов в рамках каждой программной области: репродуктивное здоровье и права, молодежь, народонаселение и развитие, гендерное равенство и пересекающиеся области: партнерство, мобилизация ресурсов и коммуникация. Сфера оценки выходит за рамки текущего программного периода и заключается в оценке достижений / не достижений результатов развития более высокого уровня (итогов и возможных воздействий). Помимо оценки предполагаемых последствий программы, оценка также направлена ​​на выявление потенциальных непреднамеренных последствий. ОСП должна проанализировать достижения ЮНФПА в отношении ожидаемых результатов на уровне конечных показателей и итогов, соответствие Стратегическим планам ЮНФПА на 2008-2013 гг., 2014-2017 гг. и 2018-2021 гг., национальным приоритетам и потребностям в области развития. Оценка реконструирует логику программных вмешательств и оценит степень, в которой в текущей Страновой программе были выбраны наилучшие возможные способы достижения запланированных результатов в текущем контексте развития. В ходе оценки программа будет рассмотрена по таким важным параметрам, как актуальность, эффективность, результативность, устойчивость, координация и дополнительная ценность; оценка будет охватывать как гуманитарные вмешательства, так и вмешательства в целях развития.</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Основываясь на выводах и рекомендациях ОСП, Страновой офис ЮНФПА подготовит ответное послание руководства для обеспечения того, чтобы все рекомендации ОСП были рассмотрены и/или чтобы по всем рекомендациям были предприняты соответствующие меры.</w:t>
      </w:r>
    </w:p>
    <w:p w:rsidR="00000000" w:rsidDel="00000000" w:rsidP="00000000" w:rsidRDefault="00000000" w:rsidRPr="00000000" w14:paraId="0000005C">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5D">
      <w:pPr>
        <w:jc w:val="both"/>
        <w:rPr>
          <w:b w:val="1"/>
        </w:rPr>
      </w:pPr>
      <w:r w:rsidDel="00000000" w:rsidR="00000000" w:rsidRPr="00000000">
        <w:rPr>
          <w:b w:val="1"/>
          <w:rtl w:val="0"/>
        </w:rPr>
        <w:t xml:space="preserve">КРИТЕРИИ И ВОПРОСЫ ОЦЕНКИ </w:t>
      </w:r>
    </w:p>
    <w:p w:rsidR="00000000" w:rsidDel="00000000" w:rsidP="00000000" w:rsidRDefault="00000000" w:rsidRPr="00000000" w14:paraId="0000005E">
      <w:pPr>
        <w:jc w:val="both"/>
        <w:rPr>
          <w:b w:val="1"/>
        </w:rPr>
      </w:pPr>
      <w:r w:rsidDel="00000000" w:rsidR="00000000" w:rsidRPr="00000000">
        <w:rPr>
          <w:b w:val="1"/>
          <w:rtl w:val="0"/>
        </w:rPr>
        <w:t xml:space="preserve"> </w:t>
      </w:r>
    </w:p>
    <w:p w:rsidR="00000000" w:rsidDel="00000000" w:rsidP="00000000" w:rsidRDefault="00000000" w:rsidRPr="00000000" w14:paraId="0000005F">
      <w:pPr>
        <w:jc w:val="both"/>
        <w:rPr/>
      </w:pPr>
      <w:r w:rsidDel="00000000" w:rsidR="00000000" w:rsidRPr="00000000">
        <w:rPr>
          <w:rtl w:val="0"/>
        </w:rPr>
        <w:t xml:space="preserve">В соответствии с методологией проведения ОСП, изложенной в Руководстве по разработке и проведению оценки Страновых программ в ЮНФПА18, оценка будет основана на поиске ответов на ряд вопросов, охватывающих следующие критерии оценки:</w:t>
      </w:r>
    </w:p>
    <w:p w:rsidR="00000000" w:rsidDel="00000000" w:rsidP="00000000" w:rsidRDefault="00000000" w:rsidRPr="00000000" w14:paraId="00000060">
      <w:pPr>
        <w:jc w:val="both"/>
        <w:rPr/>
      </w:pPr>
      <w:r w:rsidDel="00000000" w:rsidR="00000000" w:rsidRPr="00000000">
        <w:rPr>
          <w:rtl w:val="0"/>
        </w:rPr>
        <w:t xml:space="preserve">EQ1. В какой степени цели программы адаптированы к потребностям женщин, подростков и молодежи, людей, подверженных риску заражения ВИЧ, и пожилых людей</w:t>
      </w:r>
    </w:p>
    <w:p w:rsidR="00000000" w:rsidDel="00000000" w:rsidP="00000000" w:rsidRDefault="00000000" w:rsidRPr="00000000" w14:paraId="00000061">
      <w:pPr>
        <w:jc w:val="both"/>
        <w:rPr/>
      </w:pPr>
      <w:r w:rsidDel="00000000" w:rsidR="00000000" w:rsidRPr="00000000">
        <w:rPr>
          <w:rtl w:val="0"/>
        </w:rPr>
        <w:t xml:space="preserve">EQ2. В какой степени цели программы согласуются с национальными приоритетами и политикой и ЮНДАФ,</w:t>
      </w:r>
    </w:p>
    <w:p w:rsidR="00000000" w:rsidDel="00000000" w:rsidP="00000000" w:rsidRDefault="00000000" w:rsidRPr="00000000" w14:paraId="00000062">
      <w:pPr>
        <w:jc w:val="both"/>
        <w:rPr/>
      </w:pPr>
      <w:r w:rsidDel="00000000" w:rsidR="00000000" w:rsidRPr="00000000">
        <w:rPr>
          <w:rtl w:val="0"/>
        </w:rPr>
        <w:t xml:space="preserve">EQ3. В какой степени цели программы согласуются со стратегическими планами ЮНФПА (2012–17 и 2018–21 годы), в частности с целями, принципами, программой взаимодействия,</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b w:val="1"/>
        </w:rPr>
      </w:pPr>
      <w:r w:rsidDel="00000000" w:rsidR="00000000" w:rsidRPr="00000000">
        <w:rPr>
          <w:b w:val="1"/>
          <w:rtl w:val="0"/>
        </w:rPr>
        <w:t xml:space="preserve">Эффективность</w:t>
      </w:r>
    </w:p>
    <w:p w:rsidR="00000000" w:rsidDel="00000000" w:rsidP="00000000" w:rsidRDefault="00000000" w:rsidRPr="00000000" w14:paraId="00000065">
      <w:pPr>
        <w:jc w:val="both"/>
        <w:rPr/>
      </w:pPr>
      <w:r w:rsidDel="00000000" w:rsidR="00000000" w:rsidRPr="00000000">
        <w:rPr>
          <w:rtl w:val="0"/>
        </w:rPr>
        <w:t xml:space="preserve">EQ4 В какой степени были достигнуты запланированные результаты программы19?</w:t>
      </w:r>
    </w:p>
    <w:p w:rsidR="00000000" w:rsidDel="00000000" w:rsidP="00000000" w:rsidRDefault="00000000" w:rsidRPr="00000000" w14:paraId="00000066">
      <w:pPr>
        <w:ind w:left="720"/>
        <w:jc w:val="both"/>
        <w:rPr/>
      </w:pPr>
      <w:r w:rsidDel="00000000" w:rsidR="00000000" w:rsidRPr="00000000">
        <w:rPr>
          <w:rtl w:val="0"/>
        </w:rPr>
        <w:t xml:space="preserve">В какой степени результаты способствовали достижению запланированных результатов i. более широкое использование интегрированных услуг СРЗ теми, кто находится далеко позади, ii. расширение доступа молодежи к качественным услугам в области СРЗ и сексуальному образованию, iii. включение положений, направленных на продвижение гендерного равенства, и iv. разработка основанной на фактических данных национальной демографической политики?</w:t>
      </w:r>
    </w:p>
    <w:p w:rsidR="00000000" w:rsidDel="00000000" w:rsidP="00000000" w:rsidRDefault="00000000" w:rsidRPr="00000000" w14:paraId="00000067">
      <w:pPr>
        <w:jc w:val="both"/>
        <w:rPr/>
      </w:pPr>
      <w:r w:rsidDel="00000000" w:rsidR="00000000" w:rsidRPr="00000000">
        <w:rPr>
          <w:rtl w:val="0"/>
        </w:rPr>
        <w:t xml:space="preserve">EQ5. В какой степени поддержка ЮНФПА в области пропаганды политики и наращивания потенциала помогла обеспечить, чтобы сексуальное и репродуктивное здоровье (включая планирование семьи) и связанные с этим проблемы, касающиеся потребностей молодежи, гендерного равенства и соответствующей динамики населения, были должным образом интегрированы в национальные инструменты развития и основы отраслевой политики в стране осуществления программы?</w:t>
      </w:r>
    </w:p>
    <w:p w:rsidR="00000000" w:rsidDel="00000000" w:rsidP="00000000" w:rsidRDefault="00000000" w:rsidRPr="00000000" w14:paraId="00000068">
      <w:pPr>
        <w:jc w:val="both"/>
        <w:rPr/>
      </w:pPr>
      <w:r w:rsidDel="00000000" w:rsidR="00000000" w:rsidRPr="00000000">
        <w:rPr>
          <w:rtl w:val="0"/>
        </w:rPr>
        <w:t xml:space="preserve">EQ6. В какой степени ЮНФПА способствовал повышению готовности к чрезвычайным ситуациям в области охраны материнства / сексуального и репродуктивного здоровья, предотвращения насилия по признаку пола, включая МКНМ?</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18 Руководство по разработке и проведению оценки Страновых программ в ЮНФПА (Handbook “How to Design and Conduct a Country Programme Evaluation at UNFPA”) </w:t>
      </w:r>
      <w:hyperlink r:id="rId7">
        <w:r w:rsidDel="00000000" w:rsidR="00000000" w:rsidRPr="00000000">
          <w:rPr>
            <w:color w:val="6611cc"/>
            <w:sz w:val="20"/>
            <w:szCs w:val="20"/>
            <w:highlight w:val="white"/>
            <w:u w:val="single"/>
            <w:rtl w:val="0"/>
          </w:rPr>
          <w:t xml:space="preserve">http://www.unfpa.org/admin-resource/how-design-and-conduct-country-programme-evaluation-unfpa</w:t>
        </w:r>
      </w:hyperlink>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19 Существует высокая вероятность того, что программа запланировала и / или достигла дополнительных результатов, которые не включены в Документ по страновой программе из-за ограничений на количество страниц и слов. Команда оценки оценит все результаты, полученные программой.</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b w:val="1"/>
        </w:rPr>
      </w:pPr>
      <w:r w:rsidDel="00000000" w:rsidR="00000000" w:rsidRPr="00000000">
        <w:rPr>
          <w:b w:val="1"/>
          <w:rtl w:val="0"/>
        </w:rPr>
        <w:t xml:space="preserve">Результативность </w:t>
      </w:r>
    </w:p>
    <w:p w:rsidR="00000000" w:rsidDel="00000000" w:rsidP="00000000" w:rsidRDefault="00000000" w:rsidRPr="00000000" w14:paraId="0000006E">
      <w:pPr>
        <w:jc w:val="both"/>
        <w:rPr/>
      </w:pPr>
      <w:r w:rsidDel="00000000" w:rsidR="00000000" w:rsidRPr="00000000">
        <w:rPr>
          <w:rtl w:val="0"/>
        </w:rPr>
        <w:t xml:space="preserve">EQ7. В какой степени страновое отделение эффективно использовало свои людские, финансовые и технические ресурсы и использовало соответствующую комбинацию инструментов и подходов для достижения результатов программных мероприятий?</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b w:val="1"/>
        </w:rPr>
      </w:pPr>
      <w:r w:rsidDel="00000000" w:rsidR="00000000" w:rsidRPr="00000000">
        <w:rPr>
          <w:b w:val="1"/>
          <w:rtl w:val="0"/>
        </w:rPr>
        <w:t xml:space="preserve">Устойчивость</w:t>
      </w:r>
    </w:p>
    <w:p w:rsidR="00000000" w:rsidDel="00000000" w:rsidP="00000000" w:rsidRDefault="00000000" w:rsidRPr="00000000" w14:paraId="00000071">
      <w:pPr>
        <w:jc w:val="both"/>
        <w:rPr/>
      </w:pPr>
      <w:r w:rsidDel="00000000" w:rsidR="00000000" w:rsidRPr="00000000">
        <w:rPr>
          <w:rtl w:val="0"/>
        </w:rPr>
        <w:t xml:space="preserve">EQ8. Являются ли результаты программы и сквозные результаты устойчивыми в краткосрочной и долгосрочной перспективе?</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b w:val="1"/>
        </w:rPr>
      </w:pPr>
      <w:r w:rsidDel="00000000" w:rsidR="00000000" w:rsidRPr="00000000">
        <w:rPr>
          <w:b w:val="1"/>
          <w:rtl w:val="0"/>
        </w:rPr>
        <w:t xml:space="preserve">Координация UNCT</w:t>
      </w:r>
    </w:p>
    <w:p w:rsidR="00000000" w:rsidDel="00000000" w:rsidP="00000000" w:rsidRDefault="00000000" w:rsidRPr="00000000" w14:paraId="00000074">
      <w:pPr>
        <w:jc w:val="both"/>
        <w:rPr/>
      </w:pPr>
      <w:r w:rsidDel="00000000" w:rsidR="00000000" w:rsidRPr="00000000">
        <w:rPr>
          <w:rtl w:val="0"/>
        </w:rPr>
        <w:t xml:space="preserve">EQ9. В какой степени ЮНФПА содействовал созданию координационных механизмов в системе ООН (СГООН) в Беларуси? </w:t>
      </w:r>
    </w:p>
    <w:p w:rsidR="00000000" w:rsidDel="00000000" w:rsidP="00000000" w:rsidRDefault="00000000" w:rsidRPr="00000000" w14:paraId="00000075">
      <w:pPr>
        <w:jc w:val="both"/>
        <w:rPr/>
      </w:pPr>
      <w:r w:rsidDel="00000000" w:rsidR="00000000" w:rsidRPr="00000000">
        <w:rPr>
          <w:rtl w:val="0"/>
        </w:rPr>
        <w:t xml:space="preserve">· EQ 10. В какой степени ЮНФПА способствовал обеспечению взаимодополняемости программ, поиску синергии и недопущению дублирования и дублирования деятельности среди партнеров по развитию, работающих в Беларуси?</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b w:val="1"/>
        </w:rPr>
      </w:pPr>
      <w:r w:rsidDel="00000000" w:rsidR="00000000" w:rsidRPr="00000000">
        <w:rPr>
          <w:b w:val="1"/>
          <w:rtl w:val="0"/>
        </w:rPr>
        <w:t xml:space="preserve">Добавленная стоимость</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·EQ11. Каковы основные сравнительные преимущества и дополнительные преимущества ЮНФПА в белорусском контексте с точки зрения СГООН и ключевых национальных заинтересованных сторон?</w:t>
      </w:r>
    </w:p>
    <w:p w:rsidR="00000000" w:rsidDel="00000000" w:rsidP="00000000" w:rsidRDefault="00000000" w:rsidRPr="00000000" w14:paraId="0000007A">
      <w:pPr>
        <w:jc w:val="both"/>
        <w:rPr/>
      </w:pPr>
      <w:r w:rsidDel="00000000" w:rsidR="00000000" w:rsidRPr="00000000">
        <w:rPr>
          <w:rtl w:val="0"/>
        </w:rPr>
        <w:t xml:space="preserve"> </w:t>
      </w:r>
    </w:p>
    <w:p w:rsidR="00000000" w:rsidDel="00000000" w:rsidP="00000000" w:rsidRDefault="00000000" w:rsidRPr="00000000" w14:paraId="0000007B">
      <w:pPr>
        <w:jc w:val="both"/>
        <w:rPr/>
      </w:pPr>
      <w:r w:rsidDel="00000000" w:rsidR="00000000" w:rsidRPr="00000000">
        <w:rPr>
          <w:rtl w:val="0"/>
        </w:rPr>
        <w:t xml:space="preserve">Группа оценки разработает конкретные вопросы, определит методологию и инструменты, которые будут согласованы на этапе разработки оценки после консультаций с Контрольной группой оценки и представит в отчете о разработке оценки.</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7E">
      <w:pPr>
        <w:jc w:val="both"/>
        <w:rPr>
          <w:b w:val="1"/>
        </w:rPr>
      </w:pPr>
      <w:r w:rsidDel="00000000" w:rsidR="00000000" w:rsidRPr="00000000">
        <w:rPr>
          <w:b w:val="1"/>
          <w:rtl w:val="0"/>
        </w:rPr>
        <w:t xml:space="preserve">МЕТОДОЛОГИЯ И ПОДХОД К ПРОВЕДЕНИЮ ОЦЕНКИ</w:t>
      </w:r>
    </w:p>
    <w:p w:rsidR="00000000" w:rsidDel="00000000" w:rsidP="00000000" w:rsidRDefault="00000000" w:rsidRPr="00000000" w14:paraId="0000007F">
      <w:pPr>
        <w:jc w:val="both"/>
        <w:rPr/>
      </w:pPr>
      <w:r w:rsidDel="00000000" w:rsidR="00000000" w:rsidRPr="00000000">
        <w:rPr>
          <w:rtl w:val="0"/>
        </w:rPr>
        <w:t xml:space="preserve"> </w:t>
      </w:r>
    </w:p>
    <w:p w:rsidR="00000000" w:rsidDel="00000000" w:rsidP="00000000" w:rsidRDefault="00000000" w:rsidRPr="00000000" w14:paraId="00000080">
      <w:pPr>
        <w:jc w:val="both"/>
        <w:rPr>
          <w:b w:val="1"/>
        </w:rPr>
      </w:pPr>
      <w:r w:rsidDel="00000000" w:rsidR="00000000" w:rsidRPr="00000000">
        <w:rPr>
          <w:b w:val="1"/>
          <w:rtl w:val="0"/>
        </w:rPr>
        <w:t xml:space="preserve">Сбор данных</w:t>
      </w:r>
    </w:p>
    <w:p w:rsidR="00000000" w:rsidDel="00000000" w:rsidP="00000000" w:rsidRDefault="00000000" w:rsidRPr="00000000" w14:paraId="00000081">
      <w:pPr>
        <w:jc w:val="both"/>
        <w:rPr/>
      </w:pPr>
      <w:r w:rsidDel="00000000" w:rsidR="00000000" w:rsidRPr="00000000">
        <w:rPr>
          <w:rtl w:val="0"/>
        </w:rPr>
        <w:t xml:space="preserve">При оценке будет использован многокомпонентный подход к сбору данных (предпочтение будет отдано количественным методам), включая документальный обзор, групповые и индивидуальные интервью, фокус-группы и полевые визиты на объекты программ по мере необходимости. Сбор данных для оценки будет осуществляться с помощью различных методов, от непосредственного наблюдения до неформальных и полуструктурированных интервью и обсуждений в фокус/контактных группах. При сборе информации оценщики должны будут учитывать этические соображения.</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b w:val="1"/>
        </w:rPr>
      </w:pPr>
      <w:r w:rsidDel="00000000" w:rsidR="00000000" w:rsidRPr="00000000">
        <w:rPr>
          <w:b w:val="1"/>
          <w:rtl w:val="0"/>
        </w:rPr>
        <w:t xml:space="preserve">Механизмы валидации</w:t>
      </w:r>
    </w:p>
    <w:p w:rsidR="00000000" w:rsidDel="00000000" w:rsidP="00000000" w:rsidRDefault="00000000" w:rsidRPr="00000000" w14:paraId="00000084">
      <w:pPr>
        <w:jc w:val="both"/>
        <w:rPr/>
      </w:pPr>
      <w:r w:rsidDel="00000000" w:rsidR="00000000" w:rsidRPr="00000000">
        <w:rPr>
          <w:rtl w:val="0"/>
        </w:rPr>
        <w:t xml:space="preserve">Оценщики будут использовать различные методы для обеспечения достоверности собранных данных. Помимо систематической триангуляции источников данных и методов и инструментов сбора данных, будет обеспечена валидация данных за счет регулярного обмена данными с программным персоналом ЮНФПА и Контактной группой по оценке. Контрафактуальный анализ должен применяться везде, где это возможно, для изучения причинно-следственных связей в рамках оцениваемой программы.</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b w:val="1"/>
        </w:rPr>
      </w:pPr>
      <w:r w:rsidDel="00000000" w:rsidR="00000000" w:rsidRPr="00000000">
        <w:rPr>
          <w:b w:val="1"/>
          <w:rtl w:val="0"/>
        </w:rPr>
        <w:t xml:space="preserve">Анализ данных</w:t>
      </w:r>
    </w:p>
    <w:p w:rsidR="00000000" w:rsidDel="00000000" w:rsidP="00000000" w:rsidRDefault="00000000" w:rsidRPr="00000000" w14:paraId="00000087">
      <w:pPr>
        <w:jc w:val="both"/>
        <w:rPr/>
      </w:pPr>
      <w:r w:rsidDel="00000000" w:rsidR="00000000" w:rsidRPr="00000000">
        <w:rPr>
          <w:rtl w:val="0"/>
        </w:rPr>
        <w:t xml:space="preserve">Команда оценки обеспечит следующее при анализе данных, формулировании результатов и достижении выводов.</w:t>
      </w:r>
    </w:p>
    <w:p w:rsidR="00000000" w:rsidDel="00000000" w:rsidP="00000000" w:rsidRDefault="00000000" w:rsidRPr="00000000" w14:paraId="00000088">
      <w:pPr>
        <w:jc w:val="both"/>
        <w:rPr/>
      </w:pPr>
      <w:r w:rsidDel="00000000" w:rsidR="00000000" w:rsidRPr="00000000">
        <w:rPr>
          <w:rtl w:val="0"/>
        </w:rPr>
        <w:t xml:space="preserve">i. Обоснованы ли выводы доказательствами?</w:t>
      </w:r>
    </w:p>
    <w:p w:rsidR="00000000" w:rsidDel="00000000" w:rsidP="00000000" w:rsidRDefault="00000000" w:rsidRPr="00000000" w14:paraId="00000089">
      <w:pPr>
        <w:jc w:val="both"/>
        <w:rPr/>
      </w:pPr>
      <w:r w:rsidDel="00000000" w:rsidR="00000000" w:rsidRPr="00000000">
        <w:rPr>
          <w:rtl w:val="0"/>
        </w:rPr>
        <w:t xml:space="preserve">II. Тщательно ли описана основа для интерпретаций?</w:t>
      </w:r>
    </w:p>
    <w:p w:rsidR="00000000" w:rsidDel="00000000" w:rsidP="00000000" w:rsidRDefault="00000000" w:rsidRPr="00000000" w14:paraId="0000008A">
      <w:pPr>
        <w:jc w:val="both"/>
        <w:rPr/>
      </w:pPr>
      <w:r w:rsidDel="00000000" w:rsidR="00000000" w:rsidRPr="00000000">
        <w:rPr>
          <w:rtl w:val="0"/>
        </w:rPr>
        <w:t xml:space="preserve">III. Представлен ли анализ с вопросами оценки?</w:t>
      </w:r>
    </w:p>
    <w:p w:rsidR="00000000" w:rsidDel="00000000" w:rsidP="00000000" w:rsidRDefault="00000000" w:rsidRPr="00000000" w14:paraId="0000008B">
      <w:pPr>
        <w:jc w:val="both"/>
        <w:rPr/>
      </w:pPr>
      <w:r w:rsidDel="00000000" w:rsidR="00000000" w:rsidRPr="00000000">
        <w:rPr>
          <w:rtl w:val="0"/>
        </w:rPr>
        <w:t xml:space="preserve">внутривенно Является ли анализ прозрачным относительно источников и качества данных?</w:t>
      </w:r>
    </w:p>
    <w:p w:rsidR="00000000" w:rsidDel="00000000" w:rsidP="00000000" w:rsidRDefault="00000000" w:rsidRPr="00000000" w14:paraId="0000008C">
      <w:pPr>
        <w:jc w:val="both"/>
        <w:rPr/>
      </w:pPr>
      <w:r w:rsidDel="00000000" w:rsidR="00000000" w:rsidRPr="00000000">
        <w:rPr>
          <w:rtl w:val="0"/>
        </w:rPr>
        <w:t xml:space="preserve">iv. Объяснены ли причинно-следственные связи между вмешательством и его конечными результатами и выделены ли какие-либо непредвиденные результаты?</w:t>
      </w:r>
    </w:p>
    <w:p w:rsidR="00000000" w:rsidDel="00000000" w:rsidP="00000000" w:rsidRDefault="00000000" w:rsidRPr="00000000" w14:paraId="0000008D">
      <w:pPr>
        <w:jc w:val="both"/>
        <w:rPr/>
      </w:pPr>
      <w:r w:rsidDel="00000000" w:rsidR="00000000" w:rsidRPr="00000000">
        <w:rPr>
          <w:rtl w:val="0"/>
        </w:rPr>
        <w:t xml:space="preserve">vi. Показывает ли анализ различные результаты для разных целевых групп, в зависимости от ситуации?</w:t>
      </w:r>
    </w:p>
    <w:p w:rsidR="00000000" w:rsidDel="00000000" w:rsidP="00000000" w:rsidRDefault="00000000" w:rsidRPr="00000000" w14:paraId="0000008E">
      <w:pPr>
        <w:jc w:val="both"/>
        <w:rPr/>
      </w:pPr>
      <w:r w:rsidDel="00000000" w:rsidR="00000000" w:rsidRPr="00000000">
        <w:rPr>
          <w:rtl w:val="0"/>
        </w:rPr>
        <w:t xml:space="preserve">vii. Представлен ли анализ с учетом контекстуальных факторов?</w:t>
      </w:r>
    </w:p>
    <w:p w:rsidR="00000000" w:rsidDel="00000000" w:rsidP="00000000" w:rsidRDefault="00000000" w:rsidRPr="00000000" w14:paraId="0000008F">
      <w:pPr>
        <w:jc w:val="both"/>
        <w:rPr/>
      </w:pPr>
      <w:r w:rsidDel="00000000" w:rsidR="00000000" w:rsidRPr="00000000">
        <w:rPr>
          <w:rtl w:val="0"/>
        </w:rPr>
        <w:t xml:space="preserve">viii. Разрабатывает ли анализ такие сквозные вопросы, как равенство и уязвимость, гендерное равенство и права человека?</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b w:val="1"/>
        </w:rPr>
      </w:pPr>
      <w:r w:rsidDel="00000000" w:rsidR="00000000" w:rsidRPr="00000000">
        <w:rPr>
          <w:b w:val="1"/>
          <w:rtl w:val="0"/>
        </w:rPr>
        <w:t xml:space="preserve">Участие заинтересованных сторон</w:t>
      </w:r>
    </w:p>
    <w:p w:rsidR="00000000" w:rsidDel="00000000" w:rsidP="00000000" w:rsidRDefault="00000000" w:rsidRPr="00000000" w14:paraId="00000092">
      <w:pPr>
        <w:jc w:val="both"/>
        <w:rPr/>
      </w:pPr>
      <w:r w:rsidDel="00000000" w:rsidR="00000000" w:rsidRPr="00000000">
        <w:rPr>
          <w:rtl w:val="0"/>
        </w:rPr>
        <w:t xml:space="preserve">Оценка будет основана на всеобъемлющем подходе, включающем широкий круг партнеров и заинтересованных сторон. Менеджер по оценке проведет картирование заинтересованных сторон с целью выявления как прямых, так и косвенных партнеров ЮНФПА (т.е. партнеров, которые не работают напрямую с ЮНФПА и при этом играют ключевую роль в соответствующей сфере результата или тематической области в национальном контексте). Этими заинтересованными сторонами могут быть представители Правительства, организаций гражданского общества, частного сектора, агентств системы ООН, других многосторонних организаций, двусторонних доноров и, что наиболее важно, бенефициаров программы.</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Страновой офис ЮНФПА в Беларуси учредит Контактную группу по оценке (КГО), в которую войдут основные заинтересованные стороны по программной деятельности (национальные правительственные и неправительственные партнеры, Региональный советник ЮНФПА по мониторингу и оценке, Контактное лицо по оценке от Странового офиса ЮНФПА в Беларуси). КГО рассмотрит и предоставит материалы для технического задания по ОСП, предоставит обратную связь по отчету о разработке схемы оценки, обеспечит оценщикам доступ к источникам информации и предоставит комментарии по основным ожидаемым результатам оценки, в частности по проекту окончательного отчета.</w:t>
      </w:r>
    </w:p>
    <w:p w:rsidR="00000000" w:rsidDel="00000000" w:rsidP="00000000" w:rsidRDefault="00000000" w:rsidRPr="00000000" w14:paraId="00000095">
      <w:pPr>
        <w:jc w:val="both"/>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ПРОЦЕСС ОЦЕНКИ</w:t>
      </w:r>
    </w:p>
    <w:p w:rsidR="00000000" w:rsidDel="00000000" w:rsidP="00000000" w:rsidRDefault="00000000" w:rsidRPr="00000000" w14:paraId="00000097">
      <w:pPr>
        <w:rPr>
          <w:b w:val="1"/>
        </w:rPr>
      </w:pPr>
      <w:r w:rsidDel="00000000" w:rsidR="00000000" w:rsidRPr="00000000">
        <w:rPr>
          <w:b w:val="1"/>
          <w:rtl w:val="0"/>
        </w:rPr>
        <w:t xml:space="preserve"> </w:t>
      </w:r>
    </w:p>
    <w:p w:rsidR="00000000" w:rsidDel="00000000" w:rsidP="00000000" w:rsidRDefault="00000000" w:rsidRPr="00000000" w14:paraId="00000098">
      <w:pPr>
        <w:jc w:val="both"/>
        <w:rPr/>
      </w:pPr>
      <w:r w:rsidDel="00000000" w:rsidR="00000000" w:rsidRPr="00000000">
        <w:rPr>
          <w:rtl w:val="0"/>
        </w:rPr>
        <w:t xml:space="preserve">Оценка Страновой программы будет осуществляться в пять последовательных этапов, каждый из которых включает в себя несколько этапов с соответствующими ожидаемыми результатами:</w:t>
      </w:r>
    </w:p>
    <w:p w:rsidR="00000000" w:rsidDel="00000000" w:rsidP="00000000" w:rsidRDefault="00000000" w:rsidRPr="00000000" w14:paraId="00000099">
      <w:pPr>
        <w:jc w:val="both"/>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1. Подготовка</w:t>
      </w:r>
    </w:p>
    <w:p w:rsidR="00000000" w:rsidDel="00000000" w:rsidP="00000000" w:rsidRDefault="00000000" w:rsidRPr="00000000" w14:paraId="0000009B">
      <w:pPr>
        <w:rPr/>
      </w:pPr>
      <w:r w:rsidDel="00000000" w:rsidR="00000000" w:rsidRPr="00000000">
        <w:rPr>
          <w:rtl w:val="0"/>
        </w:rPr>
        <w:t xml:space="preserve"> Этот этап координирует Страновой офис ЮНФПА в Беларуси; этап включает:</w:t>
      </w:r>
    </w:p>
    <w:p w:rsidR="00000000" w:rsidDel="00000000" w:rsidP="00000000" w:rsidRDefault="00000000" w:rsidRPr="00000000" w14:paraId="0000009C">
      <w:pPr>
        <w:numPr>
          <w:ilvl w:val="0"/>
          <w:numId w:val="3"/>
        </w:numPr>
        <w:ind w:left="786" w:hanging="360"/>
        <w:rPr/>
      </w:pPr>
      <w:r w:rsidDel="00000000" w:rsidR="00000000" w:rsidRPr="00000000">
        <w:rPr>
          <w:rtl w:val="0"/>
        </w:rPr>
        <w:t xml:space="preserve">Составление технического задания (ТЗ) по оценке Страновой программы (ОСП);</w:t>
      </w:r>
    </w:p>
    <w:p w:rsidR="00000000" w:rsidDel="00000000" w:rsidP="00000000" w:rsidRDefault="00000000" w:rsidRPr="00000000" w14:paraId="0000009D">
      <w:pPr>
        <w:numPr>
          <w:ilvl w:val="0"/>
          <w:numId w:val="3"/>
        </w:numPr>
        <w:ind w:left="786" w:hanging="360"/>
        <w:rPr/>
      </w:pPr>
      <w:r w:rsidDel="00000000" w:rsidR="00000000" w:rsidRPr="00000000">
        <w:rPr>
          <w:rtl w:val="0"/>
        </w:rPr>
        <w:t xml:space="preserve">Учреждение Контактной группы по оценке (КГО);</w:t>
      </w:r>
    </w:p>
    <w:p w:rsidR="00000000" w:rsidDel="00000000" w:rsidP="00000000" w:rsidRDefault="00000000" w:rsidRPr="00000000" w14:paraId="0000009E">
      <w:pPr>
        <w:numPr>
          <w:ilvl w:val="0"/>
          <w:numId w:val="3"/>
        </w:numPr>
        <w:ind w:left="786" w:hanging="360"/>
        <w:rPr/>
      </w:pPr>
      <w:r w:rsidDel="00000000" w:rsidR="00000000" w:rsidRPr="00000000">
        <w:rPr>
          <w:rtl w:val="0"/>
        </w:rPr>
        <w:t xml:space="preserve">Получение комментариев от КГО по ТЗ на проведение ОСП;</w:t>
      </w:r>
    </w:p>
    <w:p w:rsidR="00000000" w:rsidDel="00000000" w:rsidP="00000000" w:rsidRDefault="00000000" w:rsidRPr="00000000" w14:paraId="0000009F">
      <w:pPr>
        <w:numPr>
          <w:ilvl w:val="0"/>
          <w:numId w:val="3"/>
        </w:numPr>
        <w:ind w:left="786" w:hanging="360"/>
        <w:rPr/>
      </w:pPr>
      <w:r w:rsidDel="00000000" w:rsidR="00000000" w:rsidRPr="00000000">
        <w:rPr>
          <w:rtl w:val="0"/>
        </w:rPr>
        <w:t xml:space="preserve">Получение комментариев по ТЗ на проведение ОСП от РО ЮНФПА для ВЕЦА; </w:t>
      </w:r>
    </w:p>
    <w:p w:rsidR="00000000" w:rsidDel="00000000" w:rsidP="00000000" w:rsidRDefault="00000000" w:rsidRPr="00000000" w14:paraId="000000A0">
      <w:pPr>
        <w:numPr>
          <w:ilvl w:val="0"/>
          <w:numId w:val="3"/>
        </w:numPr>
        <w:ind w:left="786" w:hanging="360"/>
        <w:rPr/>
      </w:pPr>
      <w:r w:rsidDel="00000000" w:rsidR="00000000" w:rsidRPr="00000000">
        <w:rPr>
          <w:rtl w:val="0"/>
        </w:rPr>
        <w:t xml:space="preserve">Получение согласования ТЗ на проведение ОСП от Управления оценки ЮНФПА;</w:t>
      </w:r>
    </w:p>
    <w:p w:rsidR="00000000" w:rsidDel="00000000" w:rsidP="00000000" w:rsidRDefault="00000000" w:rsidRPr="00000000" w14:paraId="000000A1">
      <w:pPr>
        <w:numPr>
          <w:ilvl w:val="0"/>
          <w:numId w:val="3"/>
        </w:numPr>
        <w:ind w:left="786" w:hanging="360"/>
        <w:rPr/>
      </w:pPr>
      <w:r w:rsidDel="00000000" w:rsidR="00000000" w:rsidRPr="00000000">
        <w:rPr>
          <w:rtl w:val="0"/>
        </w:rPr>
        <w:t xml:space="preserve">Выбор потенциальных оценщиков; </w:t>
      </w:r>
    </w:p>
    <w:p w:rsidR="00000000" w:rsidDel="00000000" w:rsidP="00000000" w:rsidRDefault="00000000" w:rsidRPr="00000000" w14:paraId="000000A2">
      <w:pPr>
        <w:numPr>
          <w:ilvl w:val="0"/>
          <w:numId w:val="3"/>
        </w:numPr>
        <w:ind w:left="786" w:hanging="360"/>
        <w:rPr/>
      </w:pPr>
      <w:r w:rsidDel="00000000" w:rsidR="00000000" w:rsidRPr="00000000">
        <w:rPr>
          <w:rtl w:val="0"/>
        </w:rPr>
        <w:t xml:space="preserve">Получение пре-квалификации потенциальных оценщиков от Управления оценки ЮНФПА;</w:t>
      </w:r>
    </w:p>
    <w:p w:rsidR="00000000" w:rsidDel="00000000" w:rsidP="00000000" w:rsidRDefault="00000000" w:rsidRPr="00000000" w14:paraId="000000A3">
      <w:pPr>
        <w:numPr>
          <w:ilvl w:val="0"/>
          <w:numId w:val="3"/>
        </w:numPr>
        <w:ind w:left="786" w:hanging="360"/>
        <w:rPr/>
      </w:pPr>
      <w:r w:rsidDel="00000000" w:rsidR="00000000" w:rsidRPr="00000000">
        <w:rPr>
          <w:rtl w:val="0"/>
        </w:rPr>
        <w:t xml:space="preserve">Найм оценщиков и создание Группы по оценке под председательством руководителя Группы по оценке;</w:t>
      </w:r>
    </w:p>
    <w:p w:rsidR="00000000" w:rsidDel="00000000" w:rsidP="00000000" w:rsidRDefault="00000000" w:rsidRPr="00000000" w14:paraId="000000A4">
      <w:pPr>
        <w:numPr>
          <w:ilvl w:val="0"/>
          <w:numId w:val="3"/>
        </w:numPr>
        <w:ind w:left="786" w:hanging="360"/>
        <w:rPr/>
      </w:pPr>
      <w:r w:rsidDel="00000000" w:rsidR="00000000" w:rsidRPr="00000000">
        <w:rPr>
          <w:rtl w:val="0"/>
        </w:rPr>
        <w:t xml:space="preserve">Подготовка первоначального набора документации для ОСП, включая список проектов из системы Atlas и карту заинтересованных сторон, программные и финансовые данные, все корпоративные и страновые отчеты, например, Годовой отчет странового офиса (ГОСО)</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t xml:space="preserve">В подготовительный этап может входить краткосрочная обзорная миссия в Страновой офис ЮНФПА в Беларуси, который находится в Минске. Миссия осуществляется руководителем Группы по оценке для получения лучшего понимания контекста развития, программы и партнеров ЮНФПА, уточнения сферы оценки, определения потенциальных объектов для полевых визитов и т.д.</w:t>
      </w:r>
    </w:p>
    <w:p w:rsidR="00000000" w:rsidDel="00000000" w:rsidP="00000000" w:rsidRDefault="00000000" w:rsidRPr="00000000" w14:paraId="000000A7">
      <w:pPr>
        <w:jc w:val="both"/>
        <w:rPr>
          <w:b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2. Разработка схемы оценки</w:t>
      </w:r>
    </w:p>
    <w:p w:rsidR="00000000" w:rsidDel="00000000" w:rsidP="00000000" w:rsidRDefault="00000000" w:rsidRPr="00000000" w14:paraId="000000A9">
      <w:pPr>
        <w:rPr/>
      </w:pPr>
      <w:r w:rsidDel="00000000" w:rsidR="00000000" w:rsidRPr="00000000">
        <w:rPr>
          <w:rtl w:val="0"/>
        </w:rPr>
        <w:t xml:space="preserve">На этапе разработки схемы оценки Группа по оценке будет выполнять следующие задачи:</w:t>
      </w:r>
    </w:p>
    <w:p w:rsidR="00000000" w:rsidDel="00000000" w:rsidP="00000000" w:rsidRDefault="00000000" w:rsidRPr="00000000" w14:paraId="000000AA">
      <w:pPr>
        <w:numPr>
          <w:ilvl w:val="0"/>
          <w:numId w:val="3"/>
        </w:numPr>
        <w:ind w:left="786" w:hanging="360"/>
        <w:jc w:val="both"/>
        <w:rPr/>
      </w:pPr>
      <w:r w:rsidDel="00000000" w:rsidR="00000000" w:rsidRPr="00000000">
        <w:rPr>
          <w:rtl w:val="0"/>
        </w:rPr>
        <w:t xml:space="preserve">Обзор всей соответствующей актуальной документации, имеющейся на уровне Странового офиса ЮНФПА в Беларуси, Регионального офиса и Штаб-квартиры по первой и второй Страновой программе ЮНФПА для Беларуси на 2010-2018 гг.;</w:t>
      </w:r>
    </w:p>
    <w:p w:rsidR="00000000" w:rsidDel="00000000" w:rsidP="00000000" w:rsidRDefault="00000000" w:rsidRPr="00000000" w14:paraId="000000AB">
      <w:pPr>
        <w:numPr>
          <w:ilvl w:val="0"/>
          <w:numId w:val="3"/>
        </w:numPr>
        <w:ind w:left="786" w:hanging="360"/>
        <w:jc w:val="both"/>
        <w:rPr/>
      </w:pPr>
      <w:r w:rsidDel="00000000" w:rsidR="00000000" w:rsidRPr="00000000">
        <w:rPr>
          <w:rtl w:val="0"/>
        </w:rPr>
        <w:t xml:space="preserve">Картирование заинтересованных сторон, имеющих отношение к ОСП, включая заинтересованные стороны на уровне государства и гражданского общества; отношений между различными группами заинтересованных сторон; карта заинтересованных сторон будет использоваться для создания выборки заинтересованных сторон для сбора данных;</w:t>
      </w:r>
    </w:p>
    <w:p w:rsidR="00000000" w:rsidDel="00000000" w:rsidP="00000000" w:rsidRDefault="00000000" w:rsidRPr="00000000" w14:paraId="000000AC">
      <w:pPr>
        <w:numPr>
          <w:ilvl w:val="0"/>
          <w:numId w:val="3"/>
        </w:numPr>
        <w:ind w:left="786" w:hanging="360"/>
        <w:jc w:val="both"/>
        <w:rPr/>
      </w:pPr>
      <w:r w:rsidDel="00000000" w:rsidR="00000000" w:rsidRPr="00000000">
        <w:rPr>
          <w:rtl w:val="0"/>
        </w:rPr>
        <w:t xml:space="preserve">Реконструкция логики программных вмешательств, т.е. теория изменений, которая должна вести от запланированных действий к намеченным результатам программы;</w:t>
      </w:r>
    </w:p>
    <w:p w:rsidR="00000000" w:rsidDel="00000000" w:rsidP="00000000" w:rsidRDefault="00000000" w:rsidRPr="00000000" w14:paraId="000000AD">
      <w:pPr>
        <w:numPr>
          <w:ilvl w:val="0"/>
          <w:numId w:val="3"/>
        </w:numPr>
        <w:ind w:left="786" w:hanging="360"/>
        <w:jc w:val="both"/>
        <w:rPr>
          <w:i w:val="1"/>
        </w:rPr>
      </w:pPr>
      <w:r w:rsidDel="00000000" w:rsidR="00000000" w:rsidRPr="00000000">
        <w:rPr>
          <w:rtl w:val="0"/>
        </w:rPr>
        <w:t xml:space="preserve">Доработка списка вопросов для оценки и подготовка матрицы оценки;</w:t>
      </w:r>
      <w:r w:rsidDel="00000000" w:rsidR="00000000" w:rsidRPr="00000000">
        <w:rPr>
          <w:rtl w:val="0"/>
        </w:rPr>
      </w:r>
    </w:p>
    <w:p w:rsidR="00000000" w:rsidDel="00000000" w:rsidP="00000000" w:rsidRDefault="00000000" w:rsidRPr="00000000" w14:paraId="000000AE">
      <w:pPr>
        <w:numPr>
          <w:ilvl w:val="0"/>
          <w:numId w:val="3"/>
        </w:numPr>
        <w:ind w:left="786" w:hanging="360"/>
        <w:jc w:val="both"/>
        <w:rPr/>
      </w:pPr>
      <w:r w:rsidDel="00000000" w:rsidR="00000000" w:rsidRPr="00000000">
        <w:rPr>
          <w:rtl w:val="0"/>
        </w:rPr>
        <w:t xml:space="preserve">Разработка стратегии сбора и анализа данных, а также конкретного плана работы на этапе полевых работ.</w:t>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t xml:space="preserve">После того, как оценщики определят всех респондентов и полевые визиты на места, Контактное лицо по оценке от Странового офиса ЮНФПА в Беларуси (вместе с персоналом Странового офиса) обеспечит организацию необходимой логистики.</w:t>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t xml:space="preserve">По завершении этапа разработки схемы оценки Группа по оценке подготовит отчет о разработке схемы оценки, в котором будут представлены результаты вышеупомянутых шагов и задач. Этот отчет должен продемонстрировать, как оценщики поняли цели и задачи ОСП, его сферу и критерии, контекст развития страны и логику программных вмешательств, выбранные вопросы оценки; отчет должен убедительно проиллюстрировать, как оценщики намерены провести оценку и обеспечить ее качество.</w:t>
      </w:r>
    </w:p>
    <w:p w:rsidR="00000000" w:rsidDel="00000000" w:rsidP="00000000" w:rsidRDefault="00000000" w:rsidRPr="00000000" w14:paraId="000000B3">
      <w:pPr>
        <w:jc w:val="both"/>
        <w:rPr/>
      </w:pPr>
      <w:r w:rsidDel="00000000" w:rsidR="00000000" w:rsidRPr="00000000">
        <w:rPr>
          <w:rtl w:val="0"/>
        </w:rPr>
        <w:t xml:space="preserve"> </w:t>
      </w:r>
    </w:p>
    <w:p w:rsidR="00000000" w:rsidDel="00000000" w:rsidP="00000000" w:rsidRDefault="00000000" w:rsidRPr="00000000" w14:paraId="000000B4">
      <w:pPr>
        <w:jc w:val="both"/>
        <w:rPr/>
      </w:pPr>
      <w:r w:rsidDel="00000000" w:rsidR="00000000" w:rsidRPr="00000000">
        <w:rPr>
          <w:rtl w:val="0"/>
        </w:rPr>
        <w:t xml:space="preserve">Отчет о разработке схемы оценки должен включать в себя матрицу оценки, карту заинтересованных сторон, окончательные вопросы и индикаторы/критерии для оценки, методологию оценки, используемые источники информации, подход и инструменты для сбора и анализа данных, календарь плана работ, включая список объектов для посещения в рамках полевых работ, подготовленный в соответствии с Руководством по разработке и проведению оценки Страновых программ в ЮНФПА и структура финального финального отчета. В отчете о разработке схемы оценки также должна быть представлена реконструкция логики причинно-следственной связи программных вмешательств, связывающая фактические потребности, исходные данные, мероприятия, результаты и итоги программы. Отчет о разработке схемы оценки должен быть рассмотрен, проверен и одобрен Менеджером по оценке ЮНФПА и КГО до начала этапа полевых работ ОСП. </w:t>
      </w:r>
    </w:p>
    <w:p w:rsidR="00000000" w:rsidDel="00000000" w:rsidP="00000000" w:rsidRDefault="00000000" w:rsidRPr="00000000" w14:paraId="000000B5">
      <w:pPr>
        <w:jc w:val="both"/>
        <w:rPr>
          <w:b w:val="1"/>
        </w:rPr>
      </w:pPr>
      <w:r w:rsidDel="00000000" w:rsidR="00000000" w:rsidRPr="00000000">
        <w:rPr>
          <w:rtl w:val="0"/>
        </w:rPr>
      </w:r>
    </w:p>
    <w:p w:rsidR="00000000" w:rsidDel="00000000" w:rsidP="00000000" w:rsidRDefault="00000000" w:rsidRPr="00000000" w14:paraId="000000B6">
      <w:pPr>
        <w:jc w:val="both"/>
        <w:rPr>
          <w:b w:val="1"/>
        </w:rPr>
      </w:pPr>
      <w:r w:rsidDel="00000000" w:rsidR="00000000" w:rsidRPr="00000000">
        <w:rPr>
          <w:b w:val="1"/>
          <w:rtl w:val="0"/>
        </w:rPr>
        <w:t xml:space="preserve">3. Полевой Сбор Данных</w:t>
      </w:r>
    </w:p>
    <w:p w:rsidR="00000000" w:rsidDel="00000000" w:rsidP="00000000" w:rsidRDefault="00000000" w:rsidRPr="00000000" w14:paraId="000000B7">
      <w:pPr>
        <w:jc w:val="both"/>
        <w:rPr/>
      </w:pPr>
      <w:r w:rsidDel="00000000" w:rsidR="00000000" w:rsidRPr="00000000">
        <w:rPr>
          <w:rtl w:val="0"/>
        </w:rPr>
        <w:t xml:space="preserve">После этапа разработки схемы оценки Группа по оценке приедет в Беларусь в рамках двухнедельной миссии для сбора и анализа данных, необходимых для ответа на вопросы оценки, обобщенные на этапе разработки схемы оценки, и для анализа полученных результатов с целью формулирования предварительных выводов и рекомендаций оценки. В конце этапа полевых работ Группа по оценке предоставит Страновому офису ЮНФПА презентацию о предварительных результатах оценки с целью валидации этих предварительных результатов и отработки предварительных выводов и/или рекомендаций.</w:t>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both"/>
        <w:rPr>
          <w:b w:val="1"/>
        </w:rPr>
      </w:pPr>
      <w:r w:rsidDel="00000000" w:rsidR="00000000" w:rsidRPr="00000000">
        <w:rPr>
          <w:b w:val="1"/>
          <w:rtl w:val="0"/>
        </w:rPr>
        <w:t xml:space="preserve">4. Отчетность</w:t>
      </w:r>
    </w:p>
    <w:p w:rsidR="00000000" w:rsidDel="00000000" w:rsidP="00000000" w:rsidRDefault="00000000" w:rsidRPr="00000000" w14:paraId="000000BA">
      <w:pPr>
        <w:jc w:val="both"/>
        <w:rPr/>
      </w:pPr>
      <w:r w:rsidDel="00000000" w:rsidR="00000000" w:rsidRPr="00000000">
        <w:rPr>
          <w:rtl w:val="0"/>
        </w:rPr>
        <w:t xml:space="preserve">На этом этапе Группа по оценке продолжит аналитическую работу, начатую на этапе полевых работ, и подготовит первый проект окончательного отчета об оценке с учетом замечаний Странового офиса. Этот первый проект окончательного отчета будет представлен Контактной группе по оценке для письменных комментариев. Комментарии, предоставленные КГО и обобщенные Контактным лицом по оценке от Странового офиса ЮНФПА в Беларуси, в дальнейшем позволят Группе по оценке подготовить второй проект окончательного отчета об оценке.</w:t>
      </w:r>
    </w:p>
    <w:p w:rsidR="00000000" w:rsidDel="00000000" w:rsidP="00000000" w:rsidRDefault="00000000" w:rsidRPr="00000000" w14:paraId="000000BB">
      <w:pPr>
        <w:jc w:val="both"/>
        <w:rPr/>
      </w:pPr>
      <w:r w:rsidDel="00000000" w:rsidR="00000000" w:rsidRPr="00000000">
        <w:rPr>
          <w:rtl w:val="0"/>
        </w:rPr>
        <w:t xml:space="preserve">Второй проект окончательного отчета будет распространен среди основных заинтересованных сторон программы (включая ключевых национальных партнеров) и будет представлен на семинаре для заинтересованных сторон для получения окончательных комментариев. Второй проект окончательного отчета будет рассмотрен региональным советником по мониторингу и оценке, включая комментарии, представленные сотрудниками и заинтересованными сторонами в страновом отделении. Окончательный отчет будет подготовлен вскоре после проведения семинара с учетом замечаний, представленных заинтересованными сторонами программы. Формальная оценка качества оценки (EQA) будет проводиться на этапе отчетности.</w:t>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b w:val="1"/>
        </w:rPr>
      </w:pPr>
      <w:r w:rsidDel="00000000" w:rsidR="00000000" w:rsidRPr="00000000">
        <w:rPr>
          <w:b w:val="1"/>
          <w:rtl w:val="0"/>
        </w:rPr>
        <w:t xml:space="preserve">5. Распространение и последующая деятельность</w:t>
      </w:r>
    </w:p>
    <w:p w:rsidR="00000000" w:rsidDel="00000000" w:rsidP="00000000" w:rsidRDefault="00000000" w:rsidRPr="00000000" w14:paraId="000000BE">
      <w:pPr>
        <w:jc w:val="both"/>
        <w:rPr/>
      </w:pPr>
      <w:r w:rsidDel="00000000" w:rsidR="00000000" w:rsidRPr="00000000">
        <w:rPr>
          <w:rtl w:val="0"/>
        </w:rPr>
        <w:t xml:space="preserve">На этом этапе Страновой и Региональный офисы, а также соответствующие подразделения Штаб-квартиры ЮНФПА будут проинформированы о результатах ОСП. Отчет об оценке вместе с документом, в котором перечислены все рекомендации, будет передан всем соответствующим подразделениям ЮНФПА с приглашением представить обратную связь. После отправки этот документ станет ответным посланием руководства на оценку. Страновой офис ЮНФПА в Беларуси предоставит ответное послание руководства в течение шести недель после получения окончательного отчета об оценке.</w:t>
      </w:r>
    </w:p>
    <w:p w:rsidR="00000000" w:rsidDel="00000000" w:rsidP="00000000" w:rsidRDefault="00000000" w:rsidRPr="00000000" w14:paraId="000000BF">
      <w:pPr>
        <w:jc w:val="both"/>
        <w:rPr/>
      </w:pPr>
      <w:r w:rsidDel="00000000" w:rsidR="00000000" w:rsidRPr="00000000">
        <w:rPr>
          <w:rtl w:val="0"/>
        </w:rPr>
        <w:t xml:space="preserve"> </w:t>
      </w:r>
    </w:p>
    <w:p w:rsidR="00000000" w:rsidDel="00000000" w:rsidP="00000000" w:rsidRDefault="00000000" w:rsidRPr="00000000" w14:paraId="000000C0">
      <w:pPr>
        <w:jc w:val="both"/>
        <w:rPr/>
      </w:pPr>
      <w:r w:rsidDel="00000000" w:rsidR="00000000" w:rsidRPr="00000000">
        <w:rPr>
          <w:rtl w:val="0"/>
        </w:rPr>
        <w:t xml:space="preserve">Отчет об оценке, ТЗ на проведение ОСП и ответное послание руководства будут опубликованы в базе данных оценок ЮНФПА в течение восьми недель после их доработки. Отчет об оценке также будет представлен Исполнительному совету ЮНФПА и будет широко распространен как внутри организации, так и за ее пределами.</w:t>
      </w:r>
    </w:p>
    <w:p w:rsidR="00000000" w:rsidDel="00000000" w:rsidP="00000000" w:rsidRDefault="00000000" w:rsidRPr="00000000" w14:paraId="000000C1">
      <w:pPr>
        <w:jc w:val="both"/>
        <w:rPr>
          <w:b w:val="1"/>
        </w:rPr>
      </w:pPr>
      <w:r w:rsidDel="00000000" w:rsidR="00000000" w:rsidRPr="00000000">
        <w:rPr>
          <w:rtl w:val="0"/>
        </w:rPr>
      </w:r>
    </w:p>
    <w:p w:rsidR="00000000" w:rsidDel="00000000" w:rsidP="00000000" w:rsidRDefault="00000000" w:rsidRPr="00000000" w14:paraId="000000C2">
      <w:pPr>
        <w:jc w:val="both"/>
        <w:rPr>
          <w:b w:val="1"/>
        </w:rPr>
      </w:pPr>
      <w:r w:rsidDel="00000000" w:rsidR="00000000" w:rsidRPr="00000000">
        <w:rPr>
          <w:b w:val="1"/>
          <w:rtl w:val="0"/>
        </w:rPr>
        <w:t xml:space="preserve">ОЖИДАЕМЫЕ РЕЗУЛЬТАТЫ</w:t>
      </w:r>
    </w:p>
    <w:p w:rsidR="00000000" w:rsidDel="00000000" w:rsidP="00000000" w:rsidRDefault="00000000" w:rsidRPr="00000000" w14:paraId="000000C3">
      <w:pPr>
        <w:jc w:val="both"/>
        <w:rPr>
          <w:b w:val="1"/>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t xml:space="preserve">Группа по оценке обеспечит достижение следующих ожидаемых результатов:</w:t>
      </w:r>
    </w:p>
    <w:p w:rsidR="00000000" w:rsidDel="00000000" w:rsidP="00000000" w:rsidRDefault="00000000" w:rsidRPr="00000000" w14:paraId="000000C5">
      <w:pPr>
        <w:numPr>
          <w:ilvl w:val="0"/>
          <w:numId w:val="3"/>
        </w:numPr>
        <w:ind w:left="786" w:hanging="360"/>
        <w:jc w:val="both"/>
        <w:rPr/>
      </w:pPr>
      <w:r w:rsidDel="00000000" w:rsidR="00000000" w:rsidRPr="00000000">
        <w:rPr>
          <w:rtl w:val="0"/>
        </w:rPr>
        <w:t xml:space="preserve">Отчет о разработке схемы оценки (MS Word/Excel по необходимости, не более 50 страниц), включая (как минимум): а) карту заинтересованных сторон; б) матрицу оценки (включая окончательный список вопросов и индикаторов оценки); в) реконструкцию логики программных вмешательств и г) общую схему и методологию оценки, в том числе выборки с подробным описанием плана сбора данных для полевого этапа работ;</w:t>
      </w:r>
    </w:p>
    <w:p w:rsidR="00000000" w:rsidDel="00000000" w:rsidP="00000000" w:rsidRDefault="00000000" w:rsidRPr="00000000" w14:paraId="000000C6">
      <w:pPr>
        <w:numPr>
          <w:ilvl w:val="0"/>
          <w:numId w:val="3"/>
        </w:numPr>
        <w:ind w:left="786" w:hanging="360"/>
        <w:jc w:val="both"/>
        <w:rPr/>
      </w:pPr>
      <w:r w:rsidDel="00000000" w:rsidR="00000000" w:rsidRPr="00000000">
        <w:rPr>
          <w:rtl w:val="0"/>
        </w:rPr>
        <w:t xml:space="preserve">Документ-презентация (MS PowerPoint), обобщающий основные предварительные выводы, выводы оценки, которые должны быть представлены и обсуждены со Страновым офисом во время встречи по результатам проведения полевого этапа работ;</w:t>
      </w:r>
    </w:p>
    <w:p w:rsidR="00000000" w:rsidDel="00000000" w:rsidP="00000000" w:rsidRDefault="00000000" w:rsidRPr="00000000" w14:paraId="000000C7">
      <w:pPr>
        <w:numPr>
          <w:ilvl w:val="0"/>
          <w:numId w:val="3"/>
        </w:numPr>
        <w:ind w:left="786" w:hanging="360"/>
        <w:jc w:val="both"/>
        <w:rPr/>
      </w:pPr>
      <w:r w:rsidDel="00000000" w:rsidR="00000000" w:rsidRPr="00000000">
        <w:rPr>
          <w:rtl w:val="0"/>
        </w:rPr>
        <w:t xml:space="preserve">Первый и второй проект окончательного отчета об оценке, второй проект с учетом потенциальных комментариев Контактной группы по оценке;</w:t>
      </w:r>
    </w:p>
    <w:p w:rsidR="00000000" w:rsidDel="00000000" w:rsidP="00000000" w:rsidRDefault="00000000" w:rsidRPr="00000000" w14:paraId="000000C8">
      <w:pPr>
        <w:numPr>
          <w:ilvl w:val="0"/>
          <w:numId w:val="3"/>
        </w:numPr>
        <w:ind w:left="786" w:hanging="360"/>
        <w:jc w:val="both"/>
        <w:rPr/>
      </w:pPr>
      <w:r w:rsidDel="00000000" w:rsidR="00000000" w:rsidRPr="00000000">
        <w:rPr>
          <w:rtl w:val="0"/>
        </w:rPr>
        <w:t xml:space="preserve">Документ-презентация об оценке (MS PowerPoint) для семинара по распространению информации, который должен состояться в Минске на этапе отчетности по ОСП;</w:t>
      </w:r>
    </w:p>
    <w:p w:rsidR="00000000" w:rsidDel="00000000" w:rsidP="00000000" w:rsidRDefault="00000000" w:rsidRPr="00000000" w14:paraId="000000C9">
      <w:pPr>
        <w:numPr>
          <w:ilvl w:val="0"/>
          <w:numId w:val="3"/>
        </w:numPr>
        <w:ind w:left="786" w:hanging="360"/>
        <w:jc w:val="both"/>
        <w:rPr/>
      </w:pPr>
      <w:r w:rsidDel="00000000" w:rsidR="00000000" w:rsidRPr="00000000">
        <w:rPr>
          <w:rtl w:val="0"/>
        </w:rPr>
        <w:t xml:space="preserve">Окончательный отчет (MS Word, не более 70 страниц, плюс приложения) с учетом всех комментариев, предоставленных в ходе семинара по распространению информации об оценке в одном документе.</w:t>
      </w:r>
    </w:p>
    <w:p w:rsidR="00000000" w:rsidDel="00000000" w:rsidP="00000000" w:rsidRDefault="00000000" w:rsidRPr="00000000" w14:paraId="000000CA">
      <w:pPr>
        <w:numPr>
          <w:ilvl w:val="0"/>
          <w:numId w:val="3"/>
        </w:numPr>
        <w:ind w:left="786" w:hanging="360"/>
        <w:jc w:val="both"/>
        <w:rPr/>
      </w:pPr>
      <w:r w:rsidDel="00000000" w:rsidR="00000000" w:rsidRPr="00000000">
        <w:rPr>
          <w:rtl w:val="0"/>
        </w:rPr>
        <w:t xml:space="preserve">Краткое описание оценки - краткое изложение отчета об оценке (максимум 5 страниц) для представления результатов оценки заинтересованным сторонам в Беларуси и за ее пределами.</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t xml:space="preserve">Все ожидаемые результаты будут составлены на английском языке. Все отчеты должны соответствовать структуре и подробным описаниям, представленным в Руководстве по разработке и проведению оценки Страновых программ в ЮНФПА. Этот справочный документ, а также соответствующие графики и таблицы для отчетов о разработке схемы оценки и окончательной оценки доступны по ссылке: </w:t>
      </w:r>
      <w:hyperlink r:id="rId8">
        <w:r w:rsidDel="00000000" w:rsidR="00000000" w:rsidRPr="00000000">
          <w:rPr>
            <w:u w:val="single"/>
            <w:rtl w:val="0"/>
          </w:rPr>
          <w:t xml:space="preserve">http://www.unfpa.org/admin-resource/how-design-and-conduct-country-programme-evaluation-unfpa</w:t>
        </w:r>
      </w:hyperlink>
      <w:r w:rsidDel="00000000" w:rsidR="00000000" w:rsidRPr="00000000">
        <w:rPr>
          <w:rtl w:val="0"/>
        </w:rPr>
        <w:t xml:space="preserve">.</w:t>
      </w:r>
    </w:p>
    <w:p w:rsidR="00000000" w:rsidDel="00000000" w:rsidP="00000000" w:rsidRDefault="00000000" w:rsidRPr="00000000" w14:paraId="000000CD">
      <w:pPr>
        <w:jc w:val="both"/>
        <w:rPr/>
      </w:pPr>
      <w:r w:rsidDel="00000000" w:rsidR="00000000" w:rsidRPr="00000000">
        <w:rPr>
          <w:rtl w:val="0"/>
        </w:rPr>
        <w:t xml:space="preserve"> </w:t>
      </w:r>
    </w:p>
    <w:p w:rsidR="00000000" w:rsidDel="00000000" w:rsidP="00000000" w:rsidRDefault="00000000" w:rsidRPr="00000000" w14:paraId="000000CE">
      <w:pPr>
        <w:jc w:val="both"/>
        <w:rPr/>
      </w:pPr>
      <w:r w:rsidDel="00000000" w:rsidR="00000000" w:rsidRPr="00000000">
        <w:rPr>
          <w:rtl w:val="0"/>
        </w:rPr>
        <w:t xml:space="preserve">Окончательный отчет об оценке и документ-презентация будут переведены на русский язык Страновым офисом ЮНФПА в Беларуси.</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b w:val="1"/>
        </w:rPr>
      </w:pPr>
      <w:r w:rsidDel="00000000" w:rsidR="00000000" w:rsidRPr="00000000">
        <w:rPr>
          <w:b w:val="1"/>
          <w:rtl w:val="0"/>
        </w:rPr>
        <w:t xml:space="preserve">РАБОЧИЙ ПЛАН / ОРИЕНТИРОВОЧНЫЕ СРОКИ</w:t>
      </w:r>
    </w:p>
    <w:p w:rsidR="00000000" w:rsidDel="00000000" w:rsidP="00000000" w:rsidRDefault="00000000" w:rsidRPr="00000000" w14:paraId="000000D1">
      <w:pPr>
        <w:jc w:val="both"/>
        <w:rPr>
          <w:b w:val="1"/>
        </w:rPr>
      </w:pPr>
      <w:r w:rsidDel="00000000" w:rsidR="00000000" w:rsidRPr="00000000">
        <w:rPr>
          <w:b w:val="1"/>
          <w:rtl w:val="0"/>
        </w:rPr>
        <w:t xml:space="preserve"> </w:t>
      </w:r>
    </w:p>
    <w:p w:rsidR="00000000" w:rsidDel="00000000" w:rsidP="00000000" w:rsidRDefault="00000000" w:rsidRPr="00000000" w14:paraId="000000D2">
      <w:pPr>
        <w:rPr/>
      </w:pPr>
      <w:r w:rsidDel="00000000" w:rsidR="00000000" w:rsidRPr="00000000">
        <w:rPr>
          <w:rtl w:val="0"/>
        </w:rPr>
        <w:t xml:space="preserve">В приведенной ниже таблице указаны конкретные мероприятия и этапы процесса ОСП, сроки и ответственные стороны для их выполнения/достижения.</w:t>
      </w:r>
    </w:p>
    <w:p w:rsidR="00000000" w:rsidDel="00000000" w:rsidP="00000000" w:rsidRDefault="00000000" w:rsidRPr="00000000" w14:paraId="000000D3">
      <w:pPr>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b w:val="1"/>
              </w:rPr>
            </w:pPr>
            <w:r w:rsidDel="00000000" w:rsidR="00000000" w:rsidRPr="00000000">
              <w:rPr>
                <w:b w:val="1"/>
                <w:rtl w:val="0"/>
              </w:rPr>
              <w:t xml:space="preserve">ЭТАП/</w:t>
            </w:r>
          </w:p>
          <w:p w:rsidR="00000000" w:rsidDel="00000000" w:rsidP="00000000" w:rsidRDefault="00000000" w:rsidRPr="00000000" w14:paraId="000000D6">
            <w:pPr>
              <w:widowControl w:val="0"/>
              <w:spacing w:line="240" w:lineRule="auto"/>
              <w:rPr>
                <w:b w:val="1"/>
              </w:rPr>
            </w:pPr>
            <w:r w:rsidDel="00000000" w:rsidR="00000000" w:rsidRPr="00000000">
              <w:rPr>
                <w:b w:val="1"/>
                <w:rtl w:val="0"/>
              </w:rPr>
              <w:t xml:space="preserve">ОЖИДАЕМЫЕ РЕЗУЛЬТАТЫ</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rPr>
                <w:b w:val="1"/>
              </w:rPr>
            </w:pPr>
            <w:r w:rsidDel="00000000" w:rsidR="00000000" w:rsidRPr="00000000">
              <w:rPr>
                <w:b w:val="1"/>
                <w:rtl w:val="0"/>
              </w:rPr>
              <w:t xml:space="preserve">ОТВЕТСТВЕННЫЕ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rPr>
                <w:b w:val="1"/>
              </w:rPr>
            </w:pPr>
            <w:r w:rsidDel="00000000" w:rsidR="00000000" w:rsidRPr="00000000">
              <w:rPr>
                <w:b w:val="1"/>
                <w:rtl w:val="0"/>
              </w:rPr>
              <w:t xml:space="preserve">ПАРТНЕРЫ</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rPr>
                <w:b w:val="1"/>
              </w:rPr>
            </w:pPr>
            <w:r w:rsidDel="00000000" w:rsidR="00000000" w:rsidRPr="00000000">
              <w:rPr>
                <w:b w:val="1"/>
                <w:rtl w:val="0"/>
              </w:rPr>
              <w:t xml:space="preserve">СРОКИ</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rPr>
                <w:b w:val="1"/>
              </w:rPr>
            </w:pPr>
            <w:r w:rsidDel="00000000" w:rsidR="00000000" w:rsidRPr="00000000">
              <w:rPr>
                <w:b w:val="1"/>
                <w:rtl w:val="0"/>
              </w:rPr>
              <w:t xml:space="preserve">Подготовительный этап</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rPr>
                <w:b w:val="1"/>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pPr>
            <w:r w:rsidDel="00000000" w:rsidR="00000000" w:rsidRPr="00000000">
              <w:rPr>
                <w:rtl w:val="0"/>
              </w:rPr>
              <w:t xml:space="preserve">Учреждение Контактной группы по оценке</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rPr/>
            </w:pPr>
            <w:r w:rsidDel="00000000" w:rsidR="00000000" w:rsidRPr="00000000">
              <w:rPr>
                <w:rtl w:val="0"/>
              </w:rPr>
              <w:t xml:space="preserve">Менеджер по оценке (МО), программный персонал (ПП), Заместитель Пред</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rPr/>
            </w:pPr>
            <w:r w:rsidDel="00000000" w:rsidR="00000000" w:rsidRPr="00000000">
              <w:rPr>
                <w:rtl w:val="0"/>
              </w:rPr>
              <w:t xml:space="preserve">Основные заинтересованные стороны по программе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1 марта</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rPr/>
            </w:pPr>
            <w:r w:rsidDel="00000000" w:rsidR="00000000" w:rsidRPr="00000000">
              <w:rPr>
                <w:rtl w:val="0"/>
              </w:rPr>
              <w:t xml:space="preserve">Доработка ТЗ с учетом вклада ПП, КГО и Регионального советника ЮНФПА по МиО (РС по МиО); ТЗ согласовано Управлением оценки (УО)</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rPr/>
            </w:pPr>
            <w:r w:rsidDel="00000000" w:rsidR="00000000" w:rsidRPr="00000000">
              <w:rPr>
                <w:rtl w:val="0"/>
              </w:rPr>
              <w:t xml:space="preserve">МО, КГО, ПП</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rPr/>
            </w:pPr>
            <w:r w:rsidDel="00000000" w:rsidR="00000000" w:rsidRPr="00000000">
              <w:rPr>
                <w:rtl w:val="0"/>
              </w:rPr>
              <w:t xml:space="preserve">Пред, РС по МиО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11 марта</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rPr/>
            </w:pPr>
            <w:r w:rsidDel="00000000" w:rsidR="00000000" w:rsidRPr="00000000">
              <w:rPr>
                <w:rtl w:val="0"/>
              </w:rPr>
              <w:t xml:space="preserve">Выбор потенциальных оценщиков с учетом данных от РС по МиО; пре-квалификация потенциальных оценщиков УО; найм внешних оценщиков </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rPr/>
            </w:pPr>
            <w:r w:rsidDel="00000000" w:rsidR="00000000" w:rsidRPr="00000000">
              <w:rPr>
                <w:rtl w:val="0"/>
              </w:rPr>
              <w:t xml:space="preserve">МО, Старший специалист по административным и финансовым вопросам (ССАФ)</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rPr/>
            </w:pPr>
            <w:r w:rsidDel="00000000" w:rsidR="00000000" w:rsidRPr="00000000">
              <w:rPr>
                <w:rtl w:val="0"/>
              </w:rPr>
              <w:t xml:space="preserve">ССАФ, РС по МиО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t xml:space="preserve">25 марта</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rPr/>
            </w:pPr>
            <w:r w:rsidDel="00000000" w:rsidR="00000000" w:rsidRPr="00000000">
              <w:rPr>
                <w:rtl w:val="0"/>
              </w:rPr>
              <w:t xml:space="preserve">Составление исходного списка документации, картирование заинтересованных сторон, список проектов из системы Atlas </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pPr>
            <w:r w:rsidDel="00000000" w:rsidR="00000000" w:rsidRPr="00000000">
              <w:rPr>
                <w:rtl w:val="0"/>
              </w:rPr>
              <w:t xml:space="preserve">МО, ПП</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rPr/>
            </w:pPr>
            <w:r w:rsidDel="00000000" w:rsidR="00000000" w:rsidRPr="00000000">
              <w:rPr>
                <w:rtl w:val="0"/>
              </w:rPr>
              <w:t xml:space="preserve">ССАФ</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t xml:space="preserve">30 марта</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rPr/>
            </w:pPr>
            <w:r w:rsidDel="00000000" w:rsidR="00000000" w:rsidRPr="00000000">
              <w:rPr>
                <w:rtl w:val="0"/>
              </w:rPr>
              <w:t xml:space="preserve">Оценочная миссия руководителя Группы по оценке</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rPr/>
            </w:pPr>
            <w:r w:rsidDel="00000000" w:rsidR="00000000" w:rsidRPr="00000000">
              <w:rPr>
                <w:rtl w:val="0"/>
              </w:rPr>
              <w:t xml:space="preserve">МО, ПП, КГО</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rPr/>
            </w:pPr>
            <w:r w:rsidDel="00000000" w:rsidR="00000000" w:rsidRPr="00000000">
              <w:rPr>
                <w:rtl w:val="0"/>
              </w:rPr>
              <w:t xml:space="preserve">Пред</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t xml:space="preserve">19 апреля</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rPr>
                <w:b w:val="1"/>
              </w:rPr>
            </w:pPr>
            <w:r w:rsidDel="00000000" w:rsidR="00000000" w:rsidRPr="00000000">
              <w:rPr>
                <w:b w:val="1"/>
                <w:rtl w:val="0"/>
              </w:rPr>
              <w:t xml:space="preserve">Этап разработки схемы оценки</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rPr/>
            </w:pPr>
            <w:r w:rsidDel="00000000" w:rsidR="00000000" w:rsidRPr="00000000">
              <w:rPr>
                <w:rtl w:val="0"/>
              </w:rPr>
              <w:t xml:space="preserve">Подготовка и предоставление отчета о разработке схемы оценки</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rPr/>
            </w:pPr>
            <w:r w:rsidDel="00000000" w:rsidR="00000000" w:rsidRPr="00000000">
              <w:rPr>
                <w:rtl w:val="0"/>
              </w:rPr>
              <w:t xml:space="preserve">Оценщики </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rPr/>
            </w:pPr>
            <w:r w:rsidDel="00000000" w:rsidR="00000000" w:rsidRPr="00000000">
              <w:rPr>
                <w:rtl w:val="0"/>
              </w:rPr>
              <w:t xml:space="preserve">МО, РС по МиО, ПП, КГО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t xml:space="preserve">17 мая</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rPr/>
            </w:pPr>
            <w:r w:rsidDel="00000000" w:rsidR="00000000" w:rsidRPr="00000000">
              <w:rPr>
                <w:rtl w:val="0"/>
              </w:rPr>
              <w:t xml:space="preserve">Рассмотрение и согласование отчета о разработке схемы оценки</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40" w:lineRule="auto"/>
              <w:rPr/>
            </w:pPr>
            <w:r w:rsidDel="00000000" w:rsidR="00000000" w:rsidRPr="00000000">
              <w:rPr>
                <w:rtl w:val="0"/>
              </w:rPr>
              <w:t xml:space="preserve">Пред, МО</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rPr/>
            </w:pPr>
            <w:r w:rsidDel="00000000" w:rsidR="00000000" w:rsidRPr="00000000">
              <w:rPr>
                <w:rtl w:val="0"/>
              </w:rPr>
              <w:t xml:space="preserve">РС по МиО,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t xml:space="preserve">24 мая</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rPr>
                <w:b w:val="1"/>
              </w:rPr>
            </w:pPr>
            <w:r w:rsidDel="00000000" w:rsidR="00000000" w:rsidRPr="00000000">
              <w:rPr>
                <w:b w:val="1"/>
                <w:rtl w:val="0"/>
              </w:rPr>
              <w:t xml:space="preserve">Полевые работы</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widowControl w:val="0"/>
              <w:spacing w:line="240" w:lineRule="auto"/>
              <w:jc w:val="both"/>
              <w:rPr/>
            </w:pPr>
            <w:r w:rsidDel="00000000" w:rsidR="00000000" w:rsidRPr="00000000">
              <w:rPr>
                <w:rtl w:val="0"/>
              </w:rPr>
              <w:t xml:space="preserve">Сбор и анализ данных, включая визиты на места при необходимости</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rPr/>
            </w:pPr>
            <w:r w:rsidDel="00000000" w:rsidR="00000000" w:rsidRPr="00000000">
              <w:rPr>
                <w:rtl w:val="0"/>
              </w:rPr>
              <w:t xml:space="preserve">Оценщики </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rPr/>
            </w:pPr>
            <w:r w:rsidDel="00000000" w:rsidR="00000000" w:rsidRPr="00000000">
              <w:rPr>
                <w:rtl w:val="0"/>
              </w:rPr>
              <w:t xml:space="preserve">МО, ПП, КГО, ССАФ</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t xml:space="preserve">31 мая</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widowControl w:val="0"/>
              <w:spacing w:line="240" w:lineRule="auto"/>
              <w:jc w:val="both"/>
              <w:rPr/>
            </w:pPr>
            <w:r w:rsidDel="00000000" w:rsidR="00000000" w:rsidRPr="00000000">
              <w:rPr>
                <w:rtl w:val="0"/>
              </w:rPr>
              <w:t xml:space="preserve">Встреча по предварительным результатам, отработка элементов выводов и потенциальных рекомендаций</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pPr>
            <w:r w:rsidDel="00000000" w:rsidR="00000000" w:rsidRPr="00000000">
              <w:rPr>
                <w:rtl w:val="0"/>
              </w:rPr>
              <w:t xml:space="preserve">Оценщики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rPr/>
            </w:pPr>
            <w:r w:rsidDel="00000000" w:rsidR="00000000" w:rsidRPr="00000000">
              <w:rPr>
                <w:rtl w:val="0"/>
              </w:rPr>
              <w:t xml:space="preserve">МО, ПП, КГО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r>
          </w:p>
          <w:p w:rsidR="00000000" w:rsidDel="00000000" w:rsidP="00000000" w:rsidRDefault="00000000" w:rsidRPr="00000000" w14:paraId="00000116">
            <w:pPr>
              <w:widowControl w:val="0"/>
              <w:spacing w:line="240" w:lineRule="auto"/>
              <w:rPr/>
            </w:pPr>
            <w:r w:rsidDel="00000000" w:rsidR="00000000" w:rsidRPr="00000000">
              <w:rPr>
                <w:rtl w:val="0"/>
              </w:rPr>
              <w:t xml:space="preserve">21 июня</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line="240" w:lineRule="auto"/>
              <w:rPr>
                <w:b w:val="1"/>
              </w:rPr>
            </w:pPr>
            <w:r w:rsidDel="00000000" w:rsidR="00000000" w:rsidRPr="00000000">
              <w:rPr>
                <w:b w:val="1"/>
                <w:rtl w:val="0"/>
              </w:rPr>
              <w:t xml:space="preserve">Отчетность </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jc w:val="both"/>
              <w:rPr/>
            </w:pPr>
            <w:r w:rsidDel="00000000" w:rsidR="00000000" w:rsidRPr="00000000">
              <w:rPr>
                <w:rtl w:val="0"/>
              </w:rPr>
              <w:t xml:space="preserve">Подготовка первого проекта окончательного отчета</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pPr>
            <w:r w:rsidDel="00000000" w:rsidR="00000000" w:rsidRPr="00000000">
              <w:rPr>
                <w:rtl w:val="0"/>
              </w:rPr>
              <w:t xml:space="preserve">Оценщики</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rPr/>
            </w:pPr>
            <w:r w:rsidDel="00000000" w:rsidR="00000000" w:rsidRPr="00000000">
              <w:rPr>
                <w:rtl w:val="0"/>
              </w:rPr>
              <w:t xml:space="preserve">МО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t xml:space="preserve">28 июня</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jc w:val="both"/>
              <w:rPr/>
            </w:pPr>
            <w:r w:rsidDel="00000000" w:rsidR="00000000" w:rsidRPr="00000000">
              <w:rPr>
                <w:rtl w:val="0"/>
              </w:rPr>
              <w:t xml:space="preserve">Обратная свясь от КГО (в письменном виде)</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rPr/>
            </w:pPr>
            <w:r w:rsidDel="00000000" w:rsidR="00000000" w:rsidRPr="00000000">
              <w:rPr>
                <w:rtl w:val="0"/>
              </w:rPr>
              <w:t xml:space="preserve">КГО</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rPr/>
            </w:pPr>
            <w:r w:rsidDel="00000000" w:rsidR="00000000" w:rsidRPr="00000000">
              <w:rPr>
                <w:rtl w:val="0"/>
              </w:rPr>
              <w:t xml:space="preserve">МО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t xml:space="preserve">5 июля</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40" w:lineRule="auto"/>
              <w:jc w:val="both"/>
              <w:rPr/>
            </w:pPr>
            <w:r w:rsidDel="00000000" w:rsidR="00000000" w:rsidRPr="00000000">
              <w:rPr>
                <w:rtl w:val="0"/>
              </w:rPr>
              <w:t xml:space="preserve">Подготовка второго проекта окончательного отчета</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pPr>
            <w:r w:rsidDel="00000000" w:rsidR="00000000" w:rsidRPr="00000000">
              <w:rPr>
                <w:rtl w:val="0"/>
              </w:rPr>
              <w:t xml:space="preserve">Оценщики</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t xml:space="preserve">12 июля</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jc w:val="both"/>
              <w:rPr/>
            </w:pPr>
            <w:r w:rsidDel="00000000" w:rsidR="00000000" w:rsidRPr="00000000">
              <w:rPr>
                <w:rtl w:val="0"/>
              </w:rPr>
              <w:t xml:space="preserve">АКО второго проекта окончательного отчета</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rPr/>
            </w:pPr>
            <w:r w:rsidDel="00000000" w:rsidR="00000000" w:rsidRPr="00000000">
              <w:rPr>
                <w:rtl w:val="0"/>
              </w:rPr>
              <w:t xml:space="preserve">МО</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40" w:lineRule="auto"/>
              <w:rPr/>
            </w:pPr>
            <w:r w:rsidDel="00000000" w:rsidR="00000000" w:rsidRPr="00000000">
              <w:rPr>
                <w:rtl w:val="0"/>
              </w:rPr>
              <w:t xml:space="preserve">Пред, РС по МиО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t xml:space="preserve">19 July</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both"/>
              <w:rPr/>
            </w:pPr>
            <w:r w:rsidDel="00000000" w:rsidR="00000000" w:rsidRPr="00000000">
              <w:rPr>
                <w:rtl w:val="0"/>
              </w:rPr>
              <w:t xml:space="preserve">Подготовка окончательного отчета</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rPr/>
            </w:pPr>
            <w:r w:rsidDel="00000000" w:rsidR="00000000" w:rsidRPr="00000000">
              <w:rPr>
                <w:rtl w:val="0"/>
              </w:rPr>
              <w:t xml:space="preserve">Оценщики</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t xml:space="preserve">26 июля</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jc w:val="both"/>
              <w:rPr/>
            </w:pPr>
            <w:r w:rsidDel="00000000" w:rsidR="00000000" w:rsidRPr="00000000">
              <w:rPr>
                <w:rtl w:val="0"/>
              </w:rPr>
              <w:t xml:space="preserve">Подготовка окончательного отчета</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rPr/>
            </w:pPr>
            <w:r w:rsidDel="00000000" w:rsidR="00000000" w:rsidRPr="00000000">
              <w:rPr>
                <w:rtl w:val="0"/>
              </w:rPr>
              <w:t xml:space="preserve">МО, РС по МиО</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rPr/>
            </w:pPr>
            <w:r w:rsidDel="00000000" w:rsidR="00000000" w:rsidRPr="00000000">
              <w:rPr>
                <w:rtl w:val="0"/>
              </w:rPr>
              <w:t xml:space="preserve">Пред</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t xml:space="preserve">2 августа</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both"/>
              <w:rPr/>
            </w:pPr>
            <w:r w:rsidDel="00000000" w:rsidR="00000000" w:rsidRPr="00000000">
              <w:rPr>
                <w:rtl w:val="0"/>
              </w:rPr>
              <w:t xml:space="preserve">Итоговый АКО</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rPr/>
            </w:pPr>
            <w:r w:rsidDel="00000000" w:rsidR="00000000" w:rsidRPr="00000000">
              <w:rPr>
                <w:rtl w:val="0"/>
              </w:rPr>
              <w:t xml:space="preserve">EO</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rPr/>
            </w:pPr>
            <w:r w:rsidDel="00000000" w:rsidR="00000000" w:rsidRPr="00000000">
              <w:rPr>
                <w:rtl w:val="0"/>
              </w:rPr>
              <w:t xml:space="preserve">EM, РС по МиО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t xml:space="preserve">9 августа</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rPr>
                <w:b w:val="1"/>
              </w:rPr>
            </w:pPr>
            <w:r w:rsidDel="00000000" w:rsidR="00000000" w:rsidRPr="00000000">
              <w:rPr>
                <w:b w:val="1"/>
                <w:rtl w:val="0"/>
              </w:rPr>
              <w:t xml:space="preserve">Распространение и последующая деятельность</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jc w:val="both"/>
              <w:rPr/>
            </w:pPr>
            <w:r w:rsidDel="00000000" w:rsidR="00000000" w:rsidRPr="00000000">
              <w:rPr>
                <w:rtl w:val="0"/>
              </w:rPr>
              <w:t xml:space="preserve">Предоставление ответного послания руководства</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rPr/>
            </w:pPr>
            <w:r w:rsidDel="00000000" w:rsidR="00000000" w:rsidRPr="00000000">
              <w:rPr>
                <w:rtl w:val="0"/>
              </w:rPr>
              <w:t xml:space="preserve">Пред</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pPr>
            <w:r w:rsidDel="00000000" w:rsidR="00000000" w:rsidRPr="00000000">
              <w:rPr>
                <w:rtl w:val="0"/>
              </w:rPr>
              <w:t xml:space="preserve">МО,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t xml:space="preserve">23 августа</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A">
            <w:pPr>
              <w:widowControl w:val="0"/>
              <w:spacing w:line="240" w:lineRule="auto"/>
              <w:jc w:val="both"/>
              <w:rPr/>
            </w:pPr>
            <w:r w:rsidDel="00000000" w:rsidR="00000000" w:rsidRPr="00000000">
              <w:rPr>
                <w:rtl w:val="0"/>
              </w:rPr>
              <w:t xml:space="preserve">Отчет об ОСП, итоговый АКО и публикация ответного послания руководства на веб-сайте СО и в базе данных оценок ЮНФПА</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pPr>
            <w:r w:rsidDel="00000000" w:rsidR="00000000" w:rsidRPr="00000000">
              <w:rPr>
                <w:rtl w:val="0"/>
              </w:rPr>
              <w:t xml:space="preserve">МО, Специалист по связям с общественностью</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pPr>
            <w:r w:rsidDel="00000000" w:rsidR="00000000" w:rsidRPr="00000000">
              <w:rPr>
                <w:rtl w:val="0"/>
              </w:rPr>
              <w:t xml:space="preserve">УО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t xml:space="preserve">23 августа</w:t>
            </w:r>
          </w:p>
        </w:tc>
      </w:tr>
    </w:tbl>
    <w:p w:rsidR="00000000" w:rsidDel="00000000" w:rsidP="00000000" w:rsidRDefault="00000000" w:rsidRPr="00000000" w14:paraId="0000014E">
      <w:pPr>
        <w:jc w:val="both"/>
        <w:rPr>
          <w:b w:val="1"/>
        </w:rPr>
      </w:pPr>
      <w:r w:rsidDel="00000000" w:rsidR="00000000" w:rsidRPr="00000000">
        <w:rPr>
          <w:rtl w:val="0"/>
        </w:rPr>
      </w:r>
    </w:p>
    <w:p w:rsidR="00000000" w:rsidDel="00000000" w:rsidP="00000000" w:rsidRDefault="00000000" w:rsidRPr="00000000" w14:paraId="0000014F">
      <w:pPr>
        <w:jc w:val="both"/>
        <w:rPr>
          <w:b w:val="1"/>
        </w:rPr>
      </w:pPr>
      <w:r w:rsidDel="00000000" w:rsidR="00000000" w:rsidRPr="00000000">
        <w:rPr>
          <w:b w:val="1"/>
          <w:rtl w:val="0"/>
        </w:rPr>
        <w:t xml:space="preserve">СОСТАВ И КВАЛИФИКАЦИЯ ПРЕДСТАВИТЕЛЕЙ ГРУППЫ ПО ОЦЕНКЕ </w:t>
      </w:r>
    </w:p>
    <w:p w:rsidR="00000000" w:rsidDel="00000000" w:rsidP="00000000" w:rsidRDefault="00000000" w:rsidRPr="00000000" w14:paraId="00000150">
      <w:pPr>
        <w:jc w:val="both"/>
        <w:rPr/>
      </w:pPr>
      <w:r w:rsidDel="00000000" w:rsidR="00000000" w:rsidRPr="00000000">
        <w:rPr>
          <w:rtl w:val="0"/>
        </w:rPr>
        <w:t xml:space="preserve">Оценка будет выполнена независимой Группой по оценке, представители которой будут отобраны на конкурсной основе. Группа по оценке будет состоять из руководителя Группы по оценке и двух оценщиков, которые не являются сотрудниками ЮНФПА. Члены группы будут сочетать знания и опыт в области оценки с техническими знаниями и опытом в областях, связанных с тематическими областями ЮНФПА (репродуктивное здоровье и права, гендерное равенство, народонаселение и развитие, молодежная политика).</w:t>
      </w:r>
    </w:p>
    <w:p w:rsidR="00000000" w:rsidDel="00000000" w:rsidP="00000000" w:rsidRDefault="00000000" w:rsidRPr="00000000" w14:paraId="00000151">
      <w:pPr>
        <w:jc w:val="both"/>
        <w:rPr/>
      </w:pPr>
      <w:r w:rsidDel="00000000" w:rsidR="00000000" w:rsidRPr="00000000">
        <w:rPr>
          <w:rtl w:val="0"/>
        </w:rPr>
      </w:r>
    </w:p>
    <w:p w:rsidR="00000000" w:rsidDel="00000000" w:rsidP="00000000" w:rsidRDefault="00000000" w:rsidRPr="00000000" w14:paraId="00000152">
      <w:pPr>
        <w:jc w:val="both"/>
        <w:rPr/>
      </w:pPr>
      <w:r w:rsidDel="00000000" w:rsidR="00000000" w:rsidRPr="00000000">
        <w:rPr>
          <w:b w:val="1"/>
          <w:rtl w:val="0"/>
        </w:rPr>
        <w:t xml:space="preserve">Руководитель Группы по оценке</w:t>
      </w:r>
      <w:r w:rsidDel="00000000" w:rsidR="00000000" w:rsidRPr="00000000">
        <w:rPr>
          <w:rtl w:val="0"/>
        </w:rPr>
        <w:t xml:space="preserve"> будет нести общую ответственность за разработку схемы оценки и реализацию процесса ОСП. Он/она будет отвечать за подготовку и своевременное представление всех ожидаемых результатов ОСП, включая отчет о разработке схемы оценки, проекты окончательных отчетов и окончательные отчеты об оценке, и оценочная записка. Он/она будет руководить и координировать работу Группы по оценке и обеспечивать качество продуктов оценки. Руководитель Группы по оценке будет нести ответственность за обеспечение охвата, по крайней мере, одной страновой программы. Руководитель Группы по оценке должен иметь следующие квалификации:</w:t>
      </w:r>
    </w:p>
    <w:p w:rsidR="00000000" w:rsidDel="00000000" w:rsidP="00000000" w:rsidRDefault="00000000" w:rsidRPr="00000000" w14:paraId="00000153">
      <w:pPr>
        <w:jc w:val="both"/>
        <w:rPr/>
      </w:pPr>
      <w:r w:rsidDel="00000000" w:rsidR="00000000" w:rsidRPr="00000000">
        <w:rPr>
          <w:rtl w:val="0"/>
        </w:rPr>
      </w:r>
    </w:p>
    <w:p w:rsidR="00000000" w:rsidDel="00000000" w:rsidP="00000000" w:rsidRDefault="00000000" w:rsidRPr="00000000" w14:paraId="00000154">
      <w:pPr>
        <w:numPr>
          <w:ilvl w:val="0"/>
          <w:numId w:val="3"/>
        </w:numPr>
        <w:ind w:left="786" w:hanging="360"/>
        <w:jc w:val="both"/>
        <w:rPr/>
      </w:pPr>
      <w:r w:rsidDel="00000000" w:rsidR="00000000" w:rsidRPr="00000000">
        <w:rPr>
          <w:rtl w:val="0"/>
        </w:rPr>
        <w:t xml:space="preserve">Ученая степень (выше степени бакалавра) в области социальных наук, политологии, государственного управления, экономики или смежной области;</w:t>
      </w:r>
    </w:p>
    <w:p w:rsidR="00000000" w:rsidDel="00000000" w:rsidP="00000000" w:rsidRDefault="00000000" w:rsidRPr="00000000" w14:paraId="00000155">
      <w:pPr>
        <w:numPr>
          <w:ilvl w:val="0"/>
          <w:numId w:val="3"/>
        </w:numPr>
        <w:ind w:left="786" w:hanging="360"/>
        <w:jc w:val="both"/>
        <w:rPr/>
      </w:pPr>
      <w:r w:rsidDel="00000000" w:rsidR="00000000" w:rsidRPr="00000000">
        <w:rPr>
          <w:rtl w:val="0"/>
        </w:rPr>
        <w:t xml:space="preserve">Не менее 7 лет опыта работы в проведении комплексных оценок, предпочтительно в сфере помощи в целях развития для агентств ООН или международных организаций по вопросам развития;</w:t>
      </w:r>
    </w:p>
    <w:p w:rsidR="00000000" w:rsidDel="00000000" w:rsidP="00000000" w:rsidRDefault="00000000" w:rsidRPr="00000000" w14:paraId="00000156">
      <w:pPr>
        <w:numPr>
          <w:ilvl w:val="0"/>
          <w:numId w:val="3"/>
        </w:numPr>
        <w:ind w:left="786" w:hanging="360"/>
        <w:jc w:val="both"/>
        <w:rPr/>
      </w:pPr>
      <w:r w:rsidDel="00000000" w:rsidR="00000000" w:rsidRPr="00000000">
        <w:rPr>
          <w:rtl w:val="0"/>
        </w:rPr>
        <w:t xml:space="preserve">Специализация в одной из программных областей сферы оценки (репродуктивное здоровье и права, гендерное равенство, народонаселение и развитие, молодежная политика);</w:t>
      </w:r>
    </w:p>
    <w:p w:rsidR="00000000" w:rsidDel="00000000" w:rsidP="00000000" w:rsidRDefault="00000000" w:rsidRPr="00000000" w14:paraId="00000157">
      <w:pPr>
        <w:numPr>
          <w:ilvl w:val="0"/>
          <w:numId w:val="3"/>
        </w:numPr>
        <w:ind w:left="786" w:hanging="360"/>
        <w:jc w:val="both"/>
        <w:rPr/>
      </w:pPr>
      <w:r w:rsidDel="00000000" w:rsidR="00000000" w:rsidRPr="00000000">
        <w:rPr>
          <w:rtl w:val="0"/>
        </w:rPr>
        <w:t xml:space="preserve">Хорошие знания и опыт оценки программ;</w:t>
      </w:r>
    </w:p>
    <w:p w:rsidR="00000000" w:rsidDel="00000000" w:rsidP="00000000" w:rsidRDefault="00000000" w:rsidRPr="00000000" w14:paraId="00000158">
      <w:pPr>
        <w:numPr>
          <w:ilvl w:val="0"/>
          <w:numId w:val="3"/>
        </w:numPr>
        <w:ind w:left="786" w:hanging="360"/>
        <w:jc w:val="both"/>
        <w:rPr/>
      </w:pPr>
      <w:r w:rsidDel="00000000" w:rsidR="00000000" w:rsidRPr="00000000">
        <w:rPr>
          <w:rtl w:val="0"/>
        </w:rPr>
        <w:t xml:space="preserve">Знание мандата и деятельности ООН и/или ЮНФПА;</w:t>
      </w:r>
    </w:p>
    <w:p w:rsidR="00000000" w:rsidDel="00000000" w:rsidP="00000000" w:rsidRDefault="00000000" w:rsidRPr="00000000" w14:paraId="00000159">
      <w:pPr>
        <w:numPr>
          <w:ilvl w:val="0"/>
          <w:numId w:val="3"/>
        </w:numPr>
        <w:ind w:left="786" w:hanging="360"/>
        <w:jc w:val="both"/>
        <w:rPr/>
      </w:pPr>
      <w:r w:rsidDel="00000000" w:rsidR="00000000" w:rsidRPr="00000000">
        <w:rPr>
          <w:rtl w:val="0"/>
        </w:rPr>
        <w:t xml:space="preserve">Отличные управленческие навыки и умение работать с многодисциплинарными и многокультурными командами;</w:t>
      </w:r>
    </w:p>
    <w:p w:rsidR="00000000" w:rsidDel="00000000" w:rsidP="00000000" w:rsidRDefault="00000000" w:rsidRPr="00000000" w14:paraId="0000015A">
      <w:pPr>
        <w:numPr>
          <w:ilvl w:val="0"/>
          <w:numId w:val="3"/>
        </w:numPr>
        <w:ind w:left="786" w:hanging="360"/>
        <w:jc w:val="both"/>
        <w:rPr/>
      </w:pPr>
      <w:r w:rsidDel="00000000" w:rsidR="00000000" w:rsidRPr="00000000">
        <w:rPr>
          <w:rtl w:val="0"/>
        </w:rPr>
        <w:t xml:space="preserve">Отличные аналитические навыки, навыки коммуникации и составления письменных отчетов/документов;</w:t>
      </w:r>
    </w:p>
    <w:p w:rsidR="00000000" w:rsidDel="00000000" w:rsidP="00000000" w:rsidRDefault="00000000" w:rsidRPr="00000000" w14:paraId="0000015B">
      <w:pPr>
        <w:numPr>
          <w:ilvl w:val="0"/>
          <w:numId w:val="3"/>
        </w:numPr>
        <w:ind w:left="786" w:hanging="360"/>
        <w:jc w:val="both"/>
        <w:rPr/>
      </w:pPr>
      <w:r w:rsidDel="00000000" w:rsidR="00000000" w:rsidRPr="00000000">
        <w:rPr>
          <w:rtl w:val="0"/>
        </w:rPr>
        <w:t xml:space="preserve">Владение устным и письменным английским языком является обязательным требованием. Знание русского языка является преимуществом.</w:t>
      </w:r>
    </w:p>
    <w:p w:rsidR="00000000" w:rsidDel="00000000" w:rsidP="00000000" w:rsidRDefault="00000000" w:rsidRPr="00000000" w14:paraId="0000015C">
      <w:pPr>
        <w:jc w:val="both"/>
        <w:rPr/>
      </w:pPr>
      <w:r w:rsidDel="00000000" w:rsidR="00000000" w:rsidRPr="00000000">
        <w:rPr>
          <w:rtl w:val="0"/>
        </w:rPr>
      </w:r>
    </w:p>
    <w:p w:rsidR="00000000" w:rsidDel="00000000" w:rsidP="00000000" w:rsidRDefault="00000000" w:rsidRPr="00000000" w14:paraId="0000015D">
      <w:pPr>
        <w:jc w:val="both"/>
        <w:rPr/>
      </w:pPr>
      <w:r w:rsidDel="00000000" w:rsidR="00000000" w:rsidRPr="00000000">
        <w:rPr>
          <w:rtl w:val="0"/>
        </w:rPr>
        <w:t xml:space="preserve">Два оценщика (Член оценочной команды) будут предоставлять экспертные знания по одной программной области оценки. Оценщики будут принимать участие в работе по сбору и анализу данных и будут вносить существенный вклад в процессы оценки путем участия в разработке методологии, совещаниях, интервью, анализе документов, инструкций, комментариев, в соответствии с рекомендациями руководителя Группы по оценке. Модальность и участие оценщиков в процессе ОСП, включая участие в интервью/встречах, предоставление технической поддержки и обзор отчета о разработке схемы оценки, составление частей отчетов об оценке, будут согласованы с руководителем Группы по оценке и будут выполняться под его/ее надзором и руководством. Оценщики должны иметь следующие квалификации:</w:t>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numPr>
          <w:ilvl w:val="0"/>
          <w:numId w:val="3"/>
        </w:numPr>
        <w:ind w:left="786" w:hanging="360"/>
        <w:jc w:val="both"/>
        <w:rPr/>
      </w:pPr>
      <w:r w:rsidDel="00000000" w:rsidR="00000000" w:rsidRPr="00000000">
        <w:rPr>
          <w:rtl w:val="0"/>
        </w:rPr>
        <w:t xml:space="preserve">Ученая степень (выше степени бакалавра) в области социальных наук, политологии, государственного управления, экономики или смежной области;</w:t>
      </w:r>
    </w:p>
    <w:p w:rsidR="00000000" w:rsidDel="00000000" w:rsidP="00000000" w:rsidRDefault="00000000" w:rsidRPr="00000000" w14:paraId="00000160">
      <w:pPr>
        <w:numPr>
          <w:ilvl w:val="0"/>
          <w:numId w:val="3"/>
        </w:numPr>
        <w:ind w:left="786" w:hanging="360"/>
        <w:jc w:val="both"/>
        <w:rPr/>
      </w:pPr>
      <w:r w:rsidDel="00000000" w:rsidR="00000000" w:rsidRPr="00000000">
        <w:rPr>
          <w:rtl w:val="0"/>
        </w:rPr>
        <w:t xml:space="preserve">Не менее 3 лет опыта работы в проведении оценок;</w:t>
      </w:r>
    </w:p>
    <w:p w:rsidR="00000000" w:rsidDel="00000000" w:rsidP="00000000" w:rsidRDefault="00000000" w:rsidRPr="00000000" w14:paraId="00000161">
      <w:pPr>
        <w:numPr>
          <w:ilvl w:val="0"/>
          <w:numId w:val="3"/>
        </w:numPr>
        <w:ind w:left="786" w:hanging="360"/>
        <w:jc w:val="both"/>
        <w:rPr/>
      </w:pPr>
      <w:r w:rsidDel="00000000" w:rsidR="00000000" w:rsidRPr="00000000">
        <w:rPr>
          <w:rtl w:val="0"/>
        </w:rPr>
        <w:t xml:space="preserve">Опыт в одной из программных областей сферы оценки (дополняющей специализацию руководителя Группы оценки);</w:t>
      </w:r>
    </w:p>
    <w:p w:rsidR="00000000" w:rsidDel="00000000" w:rsidP="00000000" w:rsidRDefault="00000000" w:rsidRPr="00000000" w14:paraId="00000162">
      <w:pPr>
        <w:numPr>
          <w:ilvl w:val="0"/>
          <w:numId w:val="3"/>
        </w:numPr>
        <w:ind w:left="786" w:hanging="360"/>
        <w:jc w:val="both"/>
        <w:rPr/>
      </w:pPr>
      <w:r w:rsidDel="00000000" w:rsidR="00000000" w:rsidRPr="00000000">
        <w:rPr>
          <w:rtl w:val="0"/>
        </w:rPr>
        <w:t xml:space="preserve">Хорошие знания и опыт оценки программ;</w:t>
      </w:r>
    </w:p>
    <w:p w:rsidR="00000000" w:rsidDel="00000000" w:rsidP="00000000" w:rsidRDefault="00000000" w:rsidRPr="00000000" w14:paraId="00000163">
      <w:pPr>
        <w:numPr>
          <w:ilvl w:val="0"/>
          <w:numId w:val="3"/>
        </w:numPr>
        <w:ind w:left="786" w:hanging="360"/>
        <w:jc w:val="both"/>
        <w:rPr/>
      </w:pPr>
      <w:r w:rsidDel="00000000" w:rsidR="00000000" w:rsidRPr="00000000">
        <w:rPr>
          <w:rtl w:val="0"/>
        </w:rPr>
        <w:t xml:space="preserve">Знание мандата и деятельности ООН и/или ЮНФПА;</w:t>
      </w:r>
    </w:p>
    <w:p w:rsidR="00000000" w:rsidDel="00000000" w:rsidP="00000000" w:rsidRDefault="00000000" w:rsidRPr="00000000" w14:paraId="00000164">
      <w:pPr>
        <w:numPr>
          <w:ilvl w:val="0"/>
          <w:numId w:val="3"/>
        </w:numPr>
        <w:ind w:left="786" w:hanging="360"/>
        <w:jc w:val="both"/>
        <w:rPr/>
      </w:pPr>
      <w:r w:rsidDel="00000000" w:rsidR="00000000" w:rsidRPr="00000000">
        <w:rPr>
          <w:rtl w:val="0"/>
        </w:rPr>
        <w:t xml:space="preserve">Отличные навыки межличностного общения и умение работать в многокультурных командах;</w:t>
      </w:r>
    </w:p>
    <w:p w:rsidR="00000000" w:rsidDel="00000000" w:rsidP="00000000" w:rsidRDefault="00000000" w:rsidRPr="00000000" w14:paraId="00000165">
      <w:pPr>
        <w:numPr>
          <w:ilvl w:val="0"/>
          <w:numId w:val="3"/>
        </w:numPr>
        <w:ind w:left="786" w:hanging="360"/>
        <w:jc w:val="both"/>
        <w:rPr/>
      </w:pPr>
      <w:r w:rsidDel="00000000" w:rsidR="00000000" w:rsidRPr="00000000">
        <w:rPr>
          <w:rtl w:val="0"/>
        </w:rPr>
        <w:t xml:space="preserve">Отличные аналитические навыки, навыки коммуникации и составления письменных отчетов/документов на английском языке;</w:t>
      </w:r>
    </w:p>
    <w:p w:rsidR="00000000" w:rsidDel="00000000" w:rsidP="00000000" w:rsidRDefault="00000000" w:rsidRPr="00000000" w14:paraId="00000166">
      <w:pPr>
        <w:numPr>
          <w:ilvl w:val="0"/>
          <w:numId w:val="3"/>
        </w:numPr>
        <w:ind w:left="786" w:hanging="360"/>
        <w:jc w:val="both"/>
        <w:rPr/>
      </w:pPr>
      <w:r w:rsidDel="00000000" w:rsidR="00000000" w:rsidRPr="00000000">
        <w:rPr>
          <w:rtl w:val="0"/>
        </w:rPr>
        <w:t xml:space="preserve">Владение устным и письменным английским и русским языком является обязательным требованием.</w:t>
      </w:r>
    </w:p>
    <w:p w:rsidR="00000000" w:rsidDel="00000000" w:rsidP="00000000" w:rsidRDefault="00000000" w:rsidRPr="00000000" w14:paraId="00000167">
      <w:pPr>
        <w:jc w:val="both"/>
        <w:rPr/>
      </w:pPr>
      <w:r w:rsidDel="00000000" w:rsidR="00000000" w:rsidRPr="00000000">
        <w:rPr>
          <w:rtl w:val="0"/>
        </w:rPr>
      </w:r>
    </w:p>
    <w:p w:rsidR="00000000" w:rsidDel="00000000" w:rsidP="00000000" w:rsidRDefault="00000000" w:rsidRPr="00000000" w14:paraId="00000168">
      <w:pPr>
        <w:jc w:val="both"/>
        <w:rPr/>
      </w:pPr>
      <w:r w:rsidDel="00000000" w:rsidR="00000000" w:rsidRPr="00000000">
        <w:rPr>
          <w:rtl w:val="0"/>
        </w:rPr>
        <w:t xml:space="preserve">Все члены Группы по оценке должны иметь глубокие знания по программным областям, проблематике и вызовам для ЮНФПА в стране. Все члены группы должны быть привержены соблюдению согласованных сроков представления результатов; а также должны быть осведомлены о проблемах гендерного равенства и прав человека. При необходимости Группе по оценке могут быть предоставлены услуги письменного/устного перевода.</w:t>
      </w:r>
    </w:p>
    <w:p w:rsidR="00000000" w:rsidDel="00000000" w:rsidP="00000000" w:rsidRDefault="00000000" w:rsidRPr="00000000" w14:paraId="00000169">
      <w:pPr>
        <w:jc w:val="both"/>
        <w:rPr/>
      </w:pPr>
      <w:r w:rsidDel="00000000" w:rsidR="00000000" w:rsidRPr="00000000">
        <w:rPr>
          <w:rtl w:val="0"/>
        </w:rPr>
        <w:t xml:space="preserve"> </w:t>
      </w:r>
    </w:p>
    <w:p w:rsidR="00000000" w:rsidDel="00000000" w:rsidP="00000000" w:rsidRDefault="00000000" w:rsidRPr="00000000" w14:paraId="0000016A">
      <w:pPr>
        <w:jc w:val="both"/>
        <w:rPr/>
      </w:pPr>
      <w:r w:rsidDel="00000000" w:rsidR="00000000" w:rsidRPr="00000000">
        <w:rPr>
          <w:rtl w:val="0"/>
        </w:rPr>
        <w:t xml:space="preserve">Работа Группы по оценке будет основываться на Нормах и стандартах, установленных Группой ООН по оценке. Члены Группы будут придерживаться Руководящих принципов по этике для оценщиков в системе ООН и Кодекса поведения ГООНО. Оценщикам будет предложено подписать Кодекс поведения до начала проведения оценки.</w:t>
      </w:r>
    </w:p>
    <w:p w:rsidR="00000000" w:rsidDel="00000000" w:rsidP="00000000" w:rsidRDefault="00000000" w:rsidRPr="00000000" w14:paraId="0000016B">
      <w:pPr>
        <w:rPr>
          <w:b w:val="1"/>
        </w:rPr>
      </w:pPr>
      <w:r w:rsidDel="00000000" w:rsidR="00000000" w:rsidRPr="00000000">
        <w:rPr>
          <w:rtl w:val="0"/>
        </w:rPr>
      </w:r>
    </w:p>
    <w:p w:rsidR="00000000" w:rsidDel="00000000" w:rsidP="00000000" w:rsidRDefault="00000000" w:rsidRPr="00000000" w14:paraId="0000016C">
      <w:pPr>
        <w:jc w:val="both"/>
        <w:rPr>
          <w:b w:val="1"/>
        </w:rPr>
      </w:pPr>
      <w:r w:rsidDel="00000000" w:rsidR="00000000" w:rsidRPr="00000000">
        <w:rPr>
          <w:b w:val="1"/>
          <w:rtl w:val="0"/>
        </w:rPr>
        <w:t xml:space="preserve">ВОЗНАГРАЖДЕНИЕ И ПРОДОЛЖИТЕЛЬНОСТЬ КОНТРАКТА</w:t>
      </w:r>
    </w:p>
    <w:p w:rsidR="00000000" w:rsidDel="00000000" w:rsidP="00000000" w:rsidRDefault="00000000" w:rsidRPr="00000000" w14:paraId="0000016D">
      <w:pPr>
        <w:jc w:val="both"/>
        <w:rPr>
          <w:b w:val="1"/>
        </w:rPr>
      </w:pPr>
      <w:r w:rsidDel="00000000" w:rsidR="00000000" w:rsidRPr="00000000">
        <w:rPr>
          <w:b w:val="1"/>
          <w:rtl w:val="0"/>
        </w:rPr>
        <w:t xml:space="preserve"> </w:t>
      </w:r>
    </w:p>
    <w:p w:rsidR="00000000" w:rsidDel="00000000" w:rsidP="00000000" w:rsidRDefault="00000000" w:rsidRPr="00000000" w14:paraId="0000016E">
      <w:pPr>
        <w:rPr/>
      </w:pPr>
      <w:r w:rsidDel="00000000" w:rsidR="00000000" w:rsidRPr="00000000">
        <w:rPr>
          <w:rtl w:val="0"/>
        </w:rPr>
        <w:t xml:space="preserve">Предварительное распределение рабочих дней в Группе по оценке будет следующим:</w:t>
      </w:r>
    </w:p>
    <w:p w:rsidR="00000000" w:rsidDel="00000000" w:rsidP="00000000" w:rsidRDefault="00000000" w:rsidRPr="00000000" w14:paraId="0000016F">
      <w:pPr>
        <w:rPr>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1845"/>
        <w:gridCol w:w="2340"/>
        <w:gridCol w:w="2340"/>
        <w:tblGridChange w:id="0">
          <w:tblGrid>
            <w:gridCol w:w="2835"/>
            <w:gridCol w:w="1845"/>
            <w:gridCol w:w="2340"/>
            <w:gridCol w:w="23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line="240" w:lineRule="auto"/>
              <w:rPr>
                <w:b w:val="1"/>
              </w:rPr>
            </w:pPr>
            <w:r w:rsidDel="00000000" w:rsidR="00000000" w:rsidRPr="00000000">
              <w:rPr>
                <w:b w:val="1"/>
                <w:rtl w:val="0"/>
              </w:rPr>
              <w:t xml:space="preserve">Этап оценки</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rPr/>
            </w:pPr>
            <w:r w:rsidDel="00000000" w:rsidR="00000000" w:rsidRPr="00000000">
              <w:rPr>
                <w:rtl w:val="0"/>
              </w:rPr>
              <w:t xml:space="preserve">Руководитель группы</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line="240" w:lineRule="auto"/>
              <w:rPr/>
            </w:pPr>
            <w:r w:rsidDel="00000000" w:rsidR="00000000" w:rsidRPr="00000000">
              <w:rPr>
                <w:rtl w:val="0"/>
              </w:rPr>
              <w:t xml:space="preserve">Оценщик 1 </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rPr/>
            </w:pPr>
            <w:r w:rsidDel="00000000" w:rsidR="00000000" w:rsidRPr="00000000">
              <w:rPr>
                <w:rtl w:val="0"/>
              </w:rPr>
              <w:t xml:space="preserve">Оценщик 2</w:t>
            </w:r>
          </w:p>
        </w:tc>
      </w:tr>
      <w:tr>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40" w:lineRule="auto"/>
              <w:rPr/>
            </w:pPr>
            <w:r w:rsidDel="00000000" w:rsidR="00000000" w:rsidRPr="00000000">
              <w:rPr>
                <w:rtl w:val="0"/>
              </w:rPr>
              <w:t xml:space="preserve">Анализ документации</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rPr/>
            </w:pPr>
            <w:r w:rsidDel="00000000" w:rsidR="00000000" w:rsidRPr="00000000">
              <w:rPr>
                <w:rtl w:val="0"/>
              </w:rPr>
              <w:t xml:space="preserve">3</w:t>
            </w:r>
          </w:p>
        </w:tc>
      </w:tr>
      <w:tr>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line="240" w:lineRule="auto"/>
              <w:rPr/>
            </w:pPr>
            <w:r w:rsidDel="00000000" w:rsidR="00000000" w:rsidRPr="00000000">
              <w:rPr>
                <w:rtl w:val="0"/>
              </w:rPr>
              <w:t xml:space="preserve">Обзорная миссия</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rPr/>
            </w:pPr>
            <w:r w:rsidDel="00000000" w:rsidR="00000000" w:rsidRPr="00000000">
              <w:rPr>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line="240" w:lineRule="auto"/>
              <w:rPr/>
            </w:pPr>
            <w:r w:rsidDel="00000000" w:rsidR="00000000" w:rsidRPr="00000000">
              <w:rPr>
                <w:rtl w:val="0"/>
              </w:rPr>
              <w:t xml:space="preserve">Разработка схемы оценки</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rPr/>
            </w:pPr>
            <w:r w:rsidDel="00000000" w:rsidR="00000000" w:rsidRPr="00000000">
              <w:rPr>
                <w:rtl w:val="0"/>
              </w:rPr>
              <w:t xml:space="preserve">5</w:t>
            </w:r>
          </w:p>
        </w:tc>
      </w:tr>
      <w:t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rPr/>
            </w:pPr>
            <w:r w:rsidDel="00000000" w:rsidR="00000000" w:rsidRPr="00000000">
              <w:rPr>
                <w:rtl w:val="0"/>
              </w:rPr>
              <w:t xml:space="preserve">Полевые работы</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line="240" w:lineRule="auto"/>
              <w:rPr/>
            </w:pPr>
            <w:r w:rsidDel="00000000" w:rsidR="00000000" w:rsidRPr="00000000">
              <w:rPr>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rPr/>
            </w:pPr>
            <w:r w:rsidDel="00000000" w:rsidR="00000000" w:rsidRPr="00000000">
              <w:rPr>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40" w:lineRule="auto"/>
              <w:rPr/>
            </w:pPr>
            <w:r w:rsidDel="00000000" w:rsidR="00000000" w:rsidRPr="00000000">
              <w:rPr>
                <w:rtl w:val="0"/>
              </w:rPr>
              <w:t xml:space="preserve">15</w:t>
            </w:r>
          </w:p>
        </w:tc>
      </w:tr>
      <w:tr>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rPr/>
            </w:pPr>
            <w:r w:rsidDel="00000000" w:rsidR="00000000" w:rsidRPr="00000000">
              <w:rPr>
                <w:rtl w:val="0"/>
              </w:rPr>
              <w:t xml:space="preserve">Отчетность, включая: </w:t>
            </w:r>
          </w:p>
          <w:p w:rsidR="00000000" w:rsidDel="00000000" w:rsidP="00000000" w:rsidRDefault="00000000" w:rsidRPr="00000000" w14:paraId="00000185">
            <w:pPr>
              <w:widowControl w:val="0"/>
              <w:spacing w:line="240" w:lineRule="auto"/>
              <w:rPr/>
            </w:pPr>
            <w:r w:rsidDel="00000000" w:rsidR="00000000" w:rsidRPr="00000000">
              <w:rPr>
                <w:rtl w:val="0"/>
              </w:rPr>
            </w:r>
          </w:p>
          <w:p w:rsidR="00000000" w:rsidDel="00000000" w:rsidP="00000000" w:rsidRDefault="00000000" w:rsidRPr="00000000" w14:paraId="00000186">
            <w:pPr>
              <w:widowControl w:val="0"/>
              <w:spacing w:line="240" w:lineRule="auto"/>
              <w:rPr/>
            </w:pPr>
            <w:r w:rsidDel="00000000" w:rsidR="00000000" w:rsidRPr="00000000">
              <w:rPr>
                <w:rtl w:val="0"/>
              </w:rPr>
              <w:t xml:space="preserve">- Первый Проект Отчета</w:t>
            </w:r>
          </w:p>
          <w:p w:rsidR="00000000" w:rsidDel="00000000" w:rsidP="00000000" w:rsidRDefault="00000000" w:rsidRPr="00000000" w14:paraId="00000187">
            <w:pPr>
              <w:widowControl w:val="0"/>
              <w:spacing w:line="240" w:lineRule="auto"/>
              <w:rPr/>
            </w:pPr>
            <w:r w:rsidDel="00000000" w:rsidR="00000000" w:rsidRPr="00000000">
              <w:rPr>
                <w:rtl w:val="0"/>
              </w:rPr>
            </w:r>
          </w:p>
          <w:p w:rsidR="00000000" w:rsidDel="00000000" w:rsidP="00000000" w:rsidRDefault="00000000" w:rsidRPr="00000000" w14:paraId="00000188">
            <w:pPr>
              <w:widowControl w:val="0"/>
              <w:spacing w:line="240" w:lineRule="auto"/>
              <w:rPr/>
            </w:pPr>
            <w:r w:rsidDel="00000000" w:rsidR="00000000" w:rsidRPr="00000000">
              <w:rPr>
                <w:rtl w:val="0"/>
              </w:rPr>
              <w:t xml:space="preserve">- Второй Отчет</w:t>
            </w:r>
          </w:p>
          <w:p w:rsidR="00000000" w:rsidDel="00000000" w:rsidP="00000000" w:rsidRDefault="00000000" w:rsidRPr="00000000" w14:paraId="00000189">
            <w:pPr>
              <w:widowControl w:val="0"/>
              <w:spacing w:line="240" w:lineRule="auto"/>
              <w:rPr/>
            </w:pPr>
            <w:r w:rsidDel="00000000" w:rsidR="00000000" w:rsidRPr="00000000">
              <w:rPr>
                <w:rtl w:val="0"/>
              </w:rPr>
            </w:r>
          </w:p>
          <w:p w:rsidR="00000000" w:rsidDel="00000000" w:rsidP="00000000" w:rsidRDefault="00000000" w:rsidRPr="00000000" w14:paraId="0000018A">
            <w:pPr>
              <w:widowControl w:val="0"/>
              <w:spacing w:line="240" w:lineRule="auto"/>
              <w:rPr/>
            </w:pPr>
            <w:r w:rsidDel="00000000" w:rsidR="00000000" w:rsidRPr="00000000">
              <w:rPr>
                <w:rtl w:val="0"/>
              </w:rPr>
              <w:t xml:space="preserve">- Окончательный Отчет</w:t>
            </w:r>
          </w:p>
          <w:p w:rsidR="00000000" w:rsidDel="00000000" w:rsidP="00000000" w:rsidRDefault="00000000" w:rsidRPr="00000000" w14:paraId="0000018B">
            <w:pPr>
              <w:widowControl w:val="0"/>
              <w:spacing w:line="240" w:lineRule="auto"/>
              <w:rPr/>
            </w:pPr>
            <w:r w:rsidDel="00000000" w:rsidR="00000000" w:rsidRPr="00000000">
              <w:rPr>
                <w:rtl w:val="0"/>
              </w:rPr>
            </w:r>
          </w:p>
          <w:p w:rsidR="00000000" w:rsidDel="00000000" w:rsidP="00000000" w:rsidRDefault="00000000" w:rsidRPr="00000000" w14:paraId="0000018C">
            <w:pPr>
              <w:widowControl w:val="0"/>
              <w:spacing w:line="240" w:lineRule="auto"/>
              <w:rPr/>
            </w:pPr>
            <w:r w:rsidDel="00000000" w:rsidR="00000000" w:rsidRPr="00000000">
              <w:rPr>
                <w:rtl w:val="0"/>
              </w:rPr>
              <w:t xml:space="preserve">- Краткое Описание</w:t>
            </w:r>
          </w:p>
          <w:p w:rsidR="00000000" w:rsidDel="00000000" w:rsidP="00000000" w:rsidRDefault="00000000" w:rsidRPr="00000000" w14:paraId="0000018D">
            <w:pPr>
              <w:widowControl w:val="0"/>
              <w:spacing w:line="240" w:lineRule="auto"/>
              <w:rPr/>
            </w:pPr>
            <w:r w:rsidDel="00000000" w:rsidR="00000000" w:rsidRPr="00000000">
              <w:rPr>
                <w:rtl w:val="0"/>
              </w:rPr>
            </w:r>
          </w:p>
          <w:p w:rsidR="00000000" w:rsidDel="00000000" w:rsidP="00000000" w:rsidRDefault="00000000" w:rsidRPr="00000000" w14:paraId="0000018E">
            <w:pPr>
              <w:widowControl w:val="0"/>
              <w:spacing w:line="240" w:lineRule="auto"/>
              <w:rPr/>
            </w:pPr>
            <w:r w:rsidDel="00000000" w:rsidR="00000000" w:rsidRPr="00000000">
              <w:rPr>
                <w:rtl w:val="0"/>
              </w:rPr>
              <w:t xml:space="preserve">- Подготовка и модерация семинара для заинтересованных сторон</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line="240" w:lineRule="auto"/>
              <w:rPr/>
            </w:pPr>
            <w:r w:rsidDel="00000000" w:rsidR="00000000" w:rsidRPr="00000000">
              <w:rPr>
                <w:rtl w:val="0"/>
              </w:rPr>
            </w:r>
          </w:p>
          <w:p w:rsidR="00000000" w:rsidDel="00000000" w:rsidP="00000000" w:rsidRDefault="00000000" w:rsidRPr="00000000" w14:paraId="00000190">
            <w:pPr>
              <w:widowControl w:val="0"/>
              <w:spacing w:line="240" w:lineRule="auto"/>
              <w:rPr/>
            </w:pPr>
            <w:r w:rsidDel="00000000" w:rsidR="00000000" w:rsidRPr="00000000">
              <w:rPr>
                <w:rtl w:val="0"/>
              </w:rPr>
            </w:r>
          </w:p>
          <w:p w:rsidR="00000000" w:rsidDel="00000000" w:rsidP="00000000" w:rsidRDefault="00000000" w:rsidRPr="00000000" w14:paraId="00000191">
            <w:pPr>
              <w:widowControl w:val="0"/>
              <w:spacing w:line="240" w:lineRule="auto"/>
              <w:rPr/>
            </w:pPr>
            <w:r w:rsidDel="00000000" w:rsidR="00000000" w:rsidRPr="00000000">
              <w:rPr>
                <w:rtl w:val="0"/>
              </w:rPr>
              <w:t xml:space="preserve">15</w:t>
            </w:r>
          </w:p>
          <w:p w:rsidR="00000000" w:rsidDel="00000000" w:rsidP="00000000" w:rsidRDefault="00000000" w:rsidRPr="00000000" w14:paraId="00000192">
            <w:pPr>
              <w:widowControl w:val="0"/>
              <w:spacing w:line="240" w:lineRule="auto"/>
              <w:rPr/>
            </w:pPr>
            <w:r w:rsidDel="00000000" w:rsidR="00000000" w:rsidRPr="00000000">
              <w:rPr>
                <w:rtl w:val="0"/>
              </w:rPr>
            </w:r>
          </w:p>
          <w:p w:rsidR="00000000" w:rsidDel="00000000" w:rsidP="00000000" w:rsidRDefault="00000000" w:rsidRPr="00000000" w14:paraId="00000193">
            <w:pPr>
              <w:widowControl w:val="0"/>
              <w:spacing w:line="240" w:lineRule="auto"/>
              <w:rPr/>
            </w:pPr>
            <w:r w:rsidDel="00000000" w:rsidR="00000000" w:rsidRPr="00000000">
              <w:rPr>
                <w:rtl w:val="0"/>
              </w:rPr>
              <w:t xml:space="preserve">3</w:t>
            </w:r>
          </w:p>
          <w:p w:rsidR="00000000" w:rsidDel="00000000" w:rsidP="00000000" w:rsidRDefault="00000000" w:rsidRPr="00000000" w14:paraId="00000194">
            <w:pPr>
              <w:widowControl w:val="0"/>
              <w:spacing w:line="240" w:lineRule="auto"/>
              <w:rPr/>
            </w:pPr>
            <w:r w:rsidDel="00000000" w:rsidR="00000000" w:rsidRPr="00000000">
              <w:rPr>
                <w:rtl w:val="0"/>
              </w:rPr>
            </w:r>
          </w:p>
          <w:p w:rsidR="00000000" w:rsidDel="00000000" w:rsidP="00000000" w:rsidRDefault="00000000" w:rsidRPr="00000000" w14:paraId="00000195">
            <w:pPr>
              <w:widowControl w:val="0"/>
              <w:spacing w:line="240" w:lineRule="auto"/>
              <w:rPr/>
            </w:pPr>
            <w:r w:rsidDel="00000000" w:rsidR="00000000" w:rsidRPr="00000000">
              <w:rPr>
                <w:rtl w:val="0"/>
              </w:rPr>
              <w:t xml:space="preserve">2</w:t>
            </w:r>
          </w:p>
          <w:p w:rsidR="00000000" w:rsidDel="00000000" w:rsidP="00000000" w:rsidRDefault="00000000" w:rsidRPr="00000000" w14:paraId="00000196">
            <w:pPr>
              <w:widowControl w:val="0"/>
              <w:spacing w:line="240" w:lineRule="auto"/>
              <w:rPr/>
            </w:pPr>
            <w:r w:rsidDel="00000000" w:rsidR="00000000" w:rsidRPr="00000000">
              <w:rPr>
                <w:rtl w:val="0"/>
              </w:rPr>
            </w:r>
          </w:p>
          <w:p w:rsidR="00000000" w:rsidDel="00000000" w:rsidP="00000000" w:rsidRDefault="00000000" w:rsidRPr="00000000" w14:paraId="00000197">
            <w:pPr>
              <w:widowControl w:val="0"/>
              <w:spacing w:line="240" w:lineRule="auto"/>
              <w:rPr/>
            </w:pPr>
            <w:r w:rsidDel="00000000" w:rsidR="00000000" w:rsidRPr="00000000">
              <w:rPr>
                <w:rtl w:val="0"/>
              </w:rPr>
              <w:t xml:space="preserve">1</w:t>
            </w:r>
          </w:p>
          <w:p w:rsidR="00000000" w:rsidDel="00000000" w:rsidP="00000000" w:rsidRDefault="00000000" w:rsidRPr="00000000" w14:paraId="00000198">
            <w:pPr>
              <w:widowControl w:val="0"/>
              <w:spacing w:line="240" w:lineRule="auto"/>
              <w:rPr/>
            </w:pPr>
            <w:r w:rsidDel="00000000" w:rsidR="00000000" w:rsidRPr="00000000">
              <w:rPr>
                <w:rtl w:val="0"/>
              </w:rPr>
            </w:r>
          </w:p>
          <w:p w:rsidR="00000000" w:rsidDel="00000000" w:rsidP="00000000" w:rsidRDefault="00000000" w:rsidRPr="00000000" w14:paraId="00000199">
            <w:pPr>
              <w:widowControl w:val="0"/>
              <w:spacing w:line="240" w:lineRule="auto"/>
              <w:rPr/>
            </w:pPr>
            <w:r w:rsidDel="00000000" w:rsidR="00000000" w:rsidRPr="00000000">
              <w:rPr>
                <w:rtl w:val="0"/>
              </w:rPr>
            </w:r>
          </w:p>
          <w:p w:rsidR="00000000" w:rsidDel="00000000" w:rsidP="00000000" w:rsidRDefault="00000000" w:rsidRPr="00000000" w14:paraId="0000019A">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line="240" w:lineRule="auto"/>
              <w:rPr/>
            </w:pPr>
            <w:r w:rsidDel="00000000" w:rsidR="00000000" w:rsidRPr="00000000">
              <w:rPr>
                <w:rtl w:val="0"/>
              </w:rPr>
            </w:r>
          </w:p>
          <w:p w:rsidR="00000000" w:rsidDel="00000000" w:rsidP="00000000" w:rsidRDefault="00000000" w:rsidRPr="00000000" w14:paraId="0000019C">
            <w:pPr>
              <w:widowControl w:val="0"/>
              <w:spacing w:line="240" w:lineRule="auto"/>
              <w:rPr/>
            </w:pPr>
            <w:r w:rsidDel="00000000" w:rsidR="00000000" w:rsidRPr="00000000">
              <w:rPr>
                <w:rtl w:val="0"/>
              </w:rPr>
            </w:r>
          </w:p>
          <w:p w:rsidR="00000000" w:rsidDel="00000000" w:rsidP="00000000" w:rsidRDefault="00000000" w:rsidRPr="00000000" w14:paraId="0000019D">
            <w:pPr>
              <w:widowControl w:val="0"/>
              <w:spacing w:line="240" w:lineRule="auto"/>
              <w:rPr/>
            </w:pPr>
            <w:r w:rsidDel="00000000" w:rsidR="00000000" w:rsidRPr="00000000">
              <w:rPr>
                <w:rtl w:val="0"/>
              </w:rPr>
              <w:t xml:space="preserve">10</w:t>
            </w:r>
          </w:p>
          <w:p w:rsidR="00000000" w:rsidDel="00000000" w:rsidP="00000000" w:rsidRDefault="00000000" w:rsidRPr="00000000" w14:paraId="0000019E">
            <w:pPr>
              <w:widowControl w:val="0"/>
              <w:spacing w:line="240" w:lineRule="auto"/>
              <w:rPr/>
            </w:pPr>
            <w:r w:rsidDel="00000000" w:rsidR="00000000" w:rsidRPr="00000000">
              <w:rPr>
                <w:rtl w:val="0"/>
              </w:rPr>
            </w:r>
          </w:p>
          <w:p w:rsidR="00000000" w:rsidDel="00000000" w:rsidP="00000000" w:rsidRDefault="00000000" w:rsidRPr="00000000" w14:paraId="0000019F">
            <w:pPr>
              <w:widowControl w:val="0"/>
              <w:spacing w:line="240" w:lineRule="auto"/>
              <w:rPr/>
            </w:pPr>
            <w:r w:rsidDel="00000000" w:rsidR="00000000" w:rsidRPr="00000000">
              <w:rPr>
                <w:rtl w:val="0"/>
              </w:rPr>
              <w:t xml:space="preserve">3</w:t>
            </w:r>
          </w:p>
          <w:p w:rsidR="00000000" w:rsidDel="00000000" w:rsidP="00000000" w:rsidRDefault="00000000" w:rsidRPr="00000000" w14:paraId="000001A0">
            <w:pPr>
              <w:widowControl w:val="0"/>
              <w:spacing w:line="240" w:lineRule="auto"/>
              <w:rPr/>
            </w:pPr>
            <w:r w:rsidDel="00000000" w:rsidR="00000000" w:rsidRPr="00000000">
              <w:rPr>
                <w:rtl w:val="0"/>
              </w:rPr>
            </w:r>
          </w:p>
          <w:p w:rsidR="00000000" w:rsidDel="00000000" w:rsidP="00000000" w:rsidRDefault="00000000" w:rsidRPr="00000000" w14:paraId="000001A1">
            <w:pPr>
              <w:widowControl w:val="0"/>
              <w:spacing w:line="240" w:lineRule="auto"/>
              <w:rPr/>
            </w:pPr>
            <w:r w:rsidDel="00000000" w:rsidR="00000000" w:rsidRPr="00000000">
              <w:rPr>
                <w:rtl w:val="0"/>
              </w:rPr>
              <w:t xml:space="preserve">1</w:t>
            </w:r>
          </w:p>
          <w:p w:rsidR="00000000" w:rsidDel="00000000" w:rsidP="00000000" w:rsidRDefault="00000000" w:rsidRPr="00000000" w14:paraId="000001A2">
            <w:pPr>
              <w:widowControl w:val="0"/>
              <w:spacing w:line="240" w:lineRule="auto"/>
              <w:rPr/>
            </w:pPr>
            <w:r w:rsidDel="00000000" w:rsidR="00000000" w:rsidRPr="00000000">
              <w:rPr>
                <w:rtl w:val="0"/>
              </w:rPr>
            </w:r>
          </w:p>
          <w:p w:rsidR="00000000" w:rsidDel="00000000" w:rsidP="00000000" w:rsidRDefault="00000000" w:rsidRPr="00000000" w14:paraId="000001A3">
            <w:pPr>
              <w:widowControl w:val="0"/>
              <w:spacing w:line="240" w:lineRule="auto"/>
              <w:rPr/>
            </w:pPr>
            <w:r w:rsidDel="00000000" w:rsidR="00000000" w:rsidRPr="00000000">
              <w:rPr>
                <w:rtl w:val="0"/>
              </w:rPr>
              <w:t xml:space="preserve">1</w:t>
            </w:r>
          </w:p>
          <w:p w:rsidR="00000000" w:rsidDel="00000000" w:rsidP="00000000" w:rsidRDefault="00000000" w:rsidRPr="00000000" w14:paraId="000001A4">
            <w:pPr>
              <w:widowControl w:val="0"/>
              <w:spacing w:line="240" w:lineRule="auto"/>
              <w:rPr/>
            </w:pPr>
            <w:r w:rsidDel="00000000" w:rsidR="00000000" w:rsidRPr="00000000">
              <w:rPr>
                <w:rtl w:val="0"/>
              </w:rPr>
            </w:r>
          </w:p>
          <w:p w:rsidR="00000000" w:rsidDel="00000000" w:rsidP="00000000" w:rsidRDefault="00000000" w:rsidRPr="00000000" w14:paraId="000001A5">
            <w:pPr>
              <w:widowControl w:val="0"/>
              <w:spacing w:line="240" w:lineRule="auto"/>
              <w:rPr/>
            </w:pPr>
            <w:r w:rsidDel="00000000" w:rsidR="00000000" w:rsidRPr="00000000">
              <w:rPr>
                <w:rtl w:val="0"/>
              </w:rPr>
            </w:r>
          </w:p>
          <w:p w:rsidR="00000000" w:rsidDel="00000000" w:rsidP="00000000" w:rsidRDefault="00000000" w:rsidRPr="00000000" w14:paraId="000001A6">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line="240" w:lineRule="auto"/>
              <w:rPr/>
            </w:pPr>
            <w:r w:rsidDel="00000000" w:rsidR="00000000" w:rsidRPr="00000000">
              <w:rPr>
                <w:rtl w:val="0"/>
              </w:rPr>
            </w:r>
          </w:p>
          <w:p w:rsidR="00000000" w:rsidDel="00000000" w:rsidP="00000000" w:rsidRDefault="00000000" w:rsidRPr="00000000" w14:paraId="000001A8">
            <w:pPr>
              <w:widowControl w:val="0"/>
              <w:spacing w:line="240" w:lineRule="auto"/>
              <w:rPr/>
            </w:pPr>
            <w:r w:rsidDel="00000000" w:rsidR="00000000" w:rsidRPr="00000000">
              <w:rPr>
                <w:rtl w:val="0"/>
              </w:rPr>
            </w:r>
          </w:p>
          <w:p w:rsidR="00000000" w:rsidDel="00000000" w:rsidP="00000000" w:rsidRDefault="00000000" w:rsidRPr="00000000" w14:paraId="000001A9">
            <w:pPr>
              <w:widowControl w:val="0"/>
              <w:spacing w:line="240" w:lineRule="auto"/>
              <w:rPr/>
            </w:pPr>
            <w:r w:rsidDel="00000000" w:rsidR="00000000" w:rsidRPr="00000000">
              <w:rPr>
                <w:rtl w:val="0"/>
              </w:rPr>
              <w:t xml:space="preserve">10</w:t>
            </w:r>
          </w:p>
          <w:p w:rsidR="00000000" w:rsidDel="00000000" w:rsidP="00000000" w:rsidRDefault="00000000" w:rsidRPr="00000000" w14:paraId="000001AA">
            <w:pPr>
              <w:widowControl w:val="0"/>
              <w:spacing w:line="240" w:lineRule="auto"/>
              <w:rPr/>
            </w:pPr>
            <w:r w:rsidDel="00000000" w:rsidR="00000000" w:rsidRPr="00000000">
              <w:rPr>
                <w:rtl w:val="0"/>
              </w:rPr>
            </w:r>
          </w:p>
          <w:p w:rsidR="00000000" w:rsidDel="00000000" w:rsidP="00000000" w:rsidRDefault="00000000" w:rsidRPr="00000000" w14:paraId="000001AB">
            <w:pPr>
              <w:widowControl w:val="0"/>
              <w:spacing w:line="240" w:lineRule="auto"/>
              <w:rPr/>
            </w:pPr>
            <w:r w:rsidDel="00000000" w:rsidR="00000000" w:rsidRPr="00000000">
              <w:rPr>
                <w:rtl w:val="0"/>
              </w:rPr>
              <w:t xml:space="preserve">3</w:t>
            </w:r>
          </w:p>
          <w:p w:rsidR="00000000" w:rsidDel="00000000" w:rsidP="00000000" w:rsidRDefault="00000000" w:rsidRPr="00000000" w14:paraId="000001AC">
            <w:pPr>
              <w:widowControl w:val="0"/>
              <w:spacing w:line="240" w:lineRule="auto"/>
              <w:rPr/>
            </w:pPr>
            <w:r w:rsidDel="00000000" w:rsidR="00000000" w:rsidRPr="00000000">
              <w:rPr>
                <w:rtl w:val="0"/>
              </w:rPr>
            </w:r>
          </w:p>
          <w:p w:rsidR="00000000" w:rsidDel="00000000" w:rsidP="00000000" w:rsidRDefault="00000000" w:rsidRPr="00000000" w14:paraId="000001AD">
            <w:pPr>
              <w:widowControl w:val="0"/>
              <w:spacing w:line="240" w:lineRule="auto"/>
              <w:rPr/>
            </w:pPr>
            <w:r w:rsidDel="00000000" w:rsidR="00000000" w:rsidRPr="00000000">
              <w:rPr>
                <w:rtl w:val="0"/>
              </w:rPr>
              <w:t xml:space="preserve">1</w:t>
            </w:r>
          </w:p>
          <w:p w:rsidR="00000000" w:rsidDel="00000000" w:rsidP="00000000" w:rsidRDefault="00000000" w:rsidRPr="00000000" w14:paraId="000001AE">
            <w:pPr>
              <w:widowControl w:val="0"/>
              <w:spacing w:line="240" w:lineRule="auto"/>
              <w:rPr/>
            </w:pPr>
            <w:r w:rsidDel="00000000" w:rsidR="00000000" w:rsidRPr="00000000">
              <w:rPr>
                <w:rtl w:val="0"/>
              </w:rPr>
            </w:r>
          </w:p>
          <w:p w:rsidR="00000000" w:rsidDel="00000000" w:rsidP="00000000" w:rsidRDefault="00000000" w:rsidRPr="00000000" w14:paraId="000001AF">
            <w:pPr>
              <w:widowControl w:val="0"/>
              <w:spacing w:line="240" w:lineRule="auto"/>
              <w:rPr/>
            </w:pPr>
            <w:r w:rsidDel="00000000" w:rsidR="00000000" w:rsidRPr="00000000">
              <w:rPr>
                <w:rtl w:val="0"/>
              </w:rPr>
              <w:t xml:space="preserve">1</w:t>
            </w:r>
          </w:p>
          <w:p w:rsidR="00000000" w:rsidDel="00000000" w:rsidP="00000000" w:rsidRDefault="00000000" w:rsidRPr="00000000" w14:paraId="000001B0">
            <w:pPr>
              <w:widowControl w:val="0"/>
              <w:spacing w:line="240" w:lineRule="auto"/>
              <w:rPr/>
            </w:pPr>
            <w:r w:rsidDel="00000000" w:rsidR="00000000" w:rsidRPr="00000000">
              <w:rPr>
                <w:rtl w:val="0"/>
              </w:rPr>
            </w:r>
          </w:p>
          <w:p w:rsidR="00000000" w:rsidDel="00000000" w:rsidP="00000000" w:rsidRDefault="00000000" w:rsidRPr="00000000" w14:paraId="000001B1">
            <w:pPr>
              <w:widowControl w:val="0"/>
              <w:spacing w:line="240" w:lineRule="auto"/>
              <w:rPr/>
            </w:pPr>
            <w:r w:rsidDel="00000000" w:rsidR="00000000" w:rsidRPr="00000000">
              <w:rPr>
                <w:rtl w:val="0"/>
              </w:rPr>
            </w:r>
          </w:p>
          <w:p w:rsidR="00000000" w:rsidDel="00000000" w:rsidP="00000000" w:rsidRDefault="00000000" w:rsidRPr="00000000" w14:paraId="000001B2">
            <w:pPr>
              <w:widowControl w:val="0"/>
              <w:spacing w:line="240" w:lineRule="auto"/>
              <w:rPr/>
            </w:pPr>
            <w:r w:rsidDel="00000000" w:rsidR="00000000" w:rsidRPr="00000000">
              <w:rPr>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line="240" w:lineRule="auto"/>
              <w:rPr/>
            </w:pPr>
            <w:r w:rsidDel="00000000" w:rsidR="00000000" w:rsidRPr="00000000">
              <w:rPr>
                <w:rtl w:val="0"/>
              </w:rPr>
              <w:t xml:space="preserve">Итого </w:t>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line="240" w:lineRule="auto"/>
              <w:rPr/>
            </w:pPr>
            <w:r w:rsidDel="00000000" w:rsidR="00000000" w:rsidRPr="00000000">
              <w:rPr>
                <w:rtl w:val="0"/>
              </w:rPr>
              <w:t xml:space="preserve">59</w:t>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line="240" w:lineRule="auto"/>
              <w:rPr/>
            </w:pPr>
            <w:r w:rsidDel="00000000" w:rsidR="00000000" w:rsidRPr="00000000">
              <w:rPr>
                <w:rtl w:val="0"/>
              </w:rPr>
              <w:t xml:space="preserve">40</w:t>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line="240" w:lineRule="auto"/>
              <w:rPr/>
            </w:pPr>
            <w:r w:rsidDel="00000000" w:rsidR="00000000" w:rsidRPr="00000000">
              <w:rPr>
                <w:rtl w:val="0"/>
              </w:rPr>
              <w:t xml:space="preserve">40</w:t>
            </w:r>
          </w:p>
        </w:tc>
      </w:tr>
    </w:tbl>
    <w:p w:rsidR="00000000" w:rsidDel="00000000" w:rsidP="00000000" w:rsidRDefault="00000000" w:rsidRPr="00000000" w14:paraId="000001B7">
      <w:pPr>
        <w:jc w:val="both"/>
        <w:rPr>
          <w:b w:val="1"/>
        </w:rPr>
      </w:pPr>
      <w:r w:rsidDel="00000000" w:rsidR="00000000" w:rsidRPr="00000000">
        <w:rPr>
          <w:rtl w:val="0"/>
        </w:rPr>
      </w:r>
    </w:p>
    <w:p w:rsidR="00000000" w:rsidDel="00000000" w:rsidP="00000000" w:rsidRDefault="00000000" w:rsidRPr="00000000" w14:paraId="000001B8">
      <w:pPr>
        <w:jc w:val="both"/>
        <w:rPr/>
      </w:pPr>
      <w:r w:rsidDel="00000000" w:rsidR="00000000" w:rsidRPr="00000000">
        <w:rPr>
          <w:rtl w:val="0"/>
        </w:rPr>
        <w:t xml:space="preserve">Точное количество рабочих дней и распределение рабочей нагрузки будет предложено Группой по оценке в отчете о разработке схемы оценки и должно быть согласовано ЮНФПА. Рабочие дни будут распределены по мере необходимости между датой подписания контракта и датой его окончания, 11 апреля 2019 года.</w:t>
      </w:r>
    </w:p>
    <w:p w:rsidR="00000000" w:rsidDel="00000000" w:rsidP="00000000" w:rsidRDefault="00000000" w:rsidRPr="00000000" w14:paraId="000001B9">
      <w:pPr>
        <w:jc w:val="both"/>
        <w:rPr/>
      </w:pPr>
      <w:r w:rsidDel="00000000" w:rsidR="00000000" w:rsidRPr="00000000">
        <w:rPr>
          <w:rtl w:val="0"/>
        </w:rPr>
      </w:r>
    </w:p>
    <w:p w:rsidR="00000000" w:rsidDel="00000000" w:rsidP="00000000" w:rsidRDefault="00000000" w:rsidRPr="00000000" w14:paraId="000001BA">
      <w:pPr>
        <w:jc w:val="both"/>
        <w:rPr/>
      </w:pPr>
      <w:r w:rsidDel="00000000" w:rsidR="00000000" w:rsidRPr="00000000">
        <w:rPr>
          <w:rtl w:val="0"/>
        </w:rPr>
        <w:t xml:space="preserve">Оплата за услуги консультирования по оценке будет осуществляться в три этапа:</w:t>
      </w:r>
    </w:p>
    <w:p w:rsidR="00000000" w:rsidDel="00000000" w:rsidP="00000000" w:rsidRDefault="00000000" w:rsidRPr="00000000" w14:paraId="000001BB">
      <w:pPr>
        <w:numPr>
          <w:ilvl w:val="0"/>
          <w:numId w:val="3"/>
        </w:numPr>
        <w:ind w:left="786" w:hanging="360"/>
        <w:jc w:val="both"/>
        <w:rPr/>
      </w:pPr>
      <w:r w:rsidDel="00000000" w:rsidR="00000000" w:rsidRPr="00000000">
        <w:rPr>
          <w:rtl w:val="0"/>
        </w:rPr>
        <w:t xml:space="preserve">20% после того как ЮНФПА утвердит отчет о разработке схемы оценки;</w:t>
      </w:r>
    </w:p>
    <w:p w:rsidR="00000000" w:rsidDel="00000000" w:rsidP="00000000" w:rsidRDefault="00000000" w:rsidRPr="00000000" w14:paraId="000001BC">
      <w:pPr>
        <w:numPr>
          <w:ilvl w:val="0"/>
          <w:numId w:val="3"/>
        </w:numPr>
        <w:ind w:left="786" w:hanging="360"/>
        <w:jc w:val="both"/>
        <w:rPr/>
      </w:pPr>
      <w:r w:rsidDel="00000000" w:rsidR="00000000" w:rsidRPr="00000000">
        <w:rPr>
          <w:rtl w:val="0"/>
        </w:rPr>
        <w:t xml:space="preserve">40% после того как ЮНФПА согласует второй проект окончательного отчета об оценке;</w:t>
      </w:r>
    </w:p>
    <w:p w:rsidR="00000000" w:rsidDel="00000000" w:rsidP="00000000" w:rsidRDefault="00000000" w:rsidRPr="00000000" w14:paraId="000001BD">
      <w:pPr>
        <w:numPr>
          <w:ilvl w:val="0"/>
          <w:numId w:val="3"/>
        </w:numPr>
        <w:ind w:left="786" w:hanging="360"/>
        <w:jc w:val="both"/>
        <w:rPr/>
      </w:pPr>
      <w:r w:rsidDel="00000000" w:rsidR="00000000" w:rsidRPr="00000000">
        <w:rPr>
          <w:rtl w:val="0"/>
        </w:rPr>
        <w:t xml:space="preserve">40% после того как ЮНФПА согласует окончательный отчет об оценке;</w:t>
      </w:r>
    </w:p>
    <w:p w:rsidR="00000000" w:rsidDel="00000000" w:rsidP="00000000" w:rsidRDefault="00000000" w:rsidRPr="00000000" w14:paraId="000001BE">
      <w:pPr>
        <w:jc w:val="both"/>
        <w:rPr/>
      </w:pPr>
      <w:r w:rsidDel="00000000" w:rsidR="00000000" w:rsidRPr="00000000">
        <w:rPr>
          <w:rtl w:val="0"/>
        </w:rPr>
      </w:r>
    </w:p>
    <w:p w:rsidR="00000000" w:rsidDel="00000000" w:rsidP="00000000" w:rsidRDefault="00000000" w:rsidRPr="00000000" w14:paraId="000001BF">
      <w:pPr>
        <w:jc w:val="both"/>
        <w:rPr/>
      </w:pPr>
      <w:r w:rsidDel="00000000" w:rsidR="00000000" w:rsidRPr="00000000">
        <w:rPr>
          <w:rtl w:val="0"/>
        </w:rPr>
        <w:t xml:space="preserve">Суточные для оценщиков будут выплачиваться в соответствии с действующими в настоящее время правилами о служебных поездках ЮНФПА с использованием соответствующих ставок ООН для городов пребывания. Транспортные расходы не включены в вознаграждение консультантов и будут оплачены отдельно.</w:t>
      </w:r>
    </w:p>
    <w:p w:rsidR="00000000" w:rsidDel="00000000" w:rsidP="00000000" w:rsidRDefault="00000000" w:rsidRPr="00000000" w14:paraId="000001C0">
      <w:pPr>
        <w:jc w:val="both"/>
        <w:rPr>
          <w:b w:val="1"/>
        </w:rPr>
      </w:pPr>
      <w:r w:rsidDel="00000000" w:rsidR="00000000" w:rsidRPr="00000000">
        <w:rPr>
          <w:rtl w:val="0"/>
        </w:rPr>
      </w:r>
    </w:p>
    <w:p w:rsidR="00000000" w:rsidDel="00000000" w:rsidP="00000000" w:rsidRDefault="00000000" w:rsidRPr="00000000" w14:paraId="000001C1">
      <w:pPr>
        <w:jc w:val="both"/>
        <w:rPr>
          <w:b w:val="1"/>
        </w:rPr>
      </w:pPr>
      <w:r w:rsidDel="00000000" w:rsidR="00000000" w:rsidRPr="00000000">
        <w:rPr>
          <w:b w:val="1"/>
          <w:rtl w:val="0"/>
        </w:rPr>
        <w:t xml:space="preserve">УПРАВЛЕНИЕ И ПРОВЕДЕНИЕ ОЦЕНКИ </w:t>
      </w:r>
    </w:p>
    <w:p w:rsidR="00000000" w:rsidDel="00000000" w:rsidP="00000000" w:rsidRDefault="00000000" w:rsidRPr="00000000" w14:paraId="000001C2">
      <w:pPr>
        <w:jc w:val="both"/>
        <w:rPr/>
      </w:pPr>
      <w:r w:rsidDel="00000000" w:rsidR="00000000" w:rsidRPr="00000000">
        <w:rPr>
          <w:rtl w:val="0"/>
        </w:rPr>
        <w:t xml:space="preserve">ОСП будет руководствоваться настоящим техническим заданием, утвержденным Управлением оценки ЮНФПА20, а также Руководством по разработке и проведению оценки Страновых программ в ЮНФПА. ОСП будет осуществляться независимой Группой по оценке, члены которой будут пре-квалифицированы Управлением оценки ЮНФПА; при этом Страновой офис ЮНФПА в Беларуси будет руководить работой данной группы. </w:t>
      </w:r>
    </w:p>
    <w:p w:rsidR="00000000" w:rsidDel="00000000" w:rsidP="00000000" w:rsidRDefault="00000000" w:rsidRPr="00000000" w14:paraId="000001C3">
      <w:pPr>
        <w:jc w:val="both"/>
        <w:rPr/>
      </w:pPr>
      <w:r w:rsidDel="00000000" w:rsidR="00000000" w:rsidRPr="00000000">
        <w:rPr>
          <w:rtl w:val="0"/>
        </w:rPr>
      </w:r>
    </w:p>
    <w:p w:rsidR="00000000" w:rsidDel="00000000" w:rsidP="00000000" w:rsidRDefault="00000000" w:rsidRPr="00000000" w14:paraId="000001C4">
      <w:pPr>
        <w:jc w:val="both"/>
        <w:rPr/>
      </w:pPr>
      <w:r w:rsidDel="00000000" w:rsidR="00000000" w:rsidRPr="00000000">
        <w:rPr>
          <w:rtl w:val="0"/>
        </w:rPr>
        <w:t xml:space="preserve">Помощник представителя ЮНФПА будет работать в качестве Менеджера по оценке и выполнять функции главного координатора странового отделения для проведения оценки при поддержке со стороны назначенного сотрудника странового отделения ЮНФПА. Менеджер по оценке будет оказывать поддержку Группе по оценке при разработке схемы оценки, будет обеспечивать постоянную обратную связь для обеспечения качества при подготовке отчета о разработке схемы оценки и окончательного отчета. Менеджер по оценке выполняет анализ качества оценки (АКО) для проекта окончательного отчета об оценке и окончательного отчета об оценке в ходе консультаций с Региональным советником по мониторингу и оценке, утверждает результаты работы по ОСП и отправляет окончательный отчет об ОСП и АКО в Управление оценки ЮНФПА. Менеджер по оценке также обеспечивает распространение окончательного отчета об оценке и основных выводов и рекомендаций и курирует подготовку ответного послания руководства на оценку.</w:t>
      </w:r>
    </w:p>
    <w:p w:rsidR="00000000" w:rsidDel="00000000" w:rsidP="00000000" w:rsidRDefault="00000000" w:rsidRPr="00000000" w14:paraId="000001C5">
      <w:pPr>
        <w:jc w:val="both"/>
        <w:rPr/>
      </w:pPr>
      <w:r w:rsidDel="00000000" w:rsidR="00000000" w:rsidRPr="00000000">
        <w:rPr>
          <w:rtl w:val="0"/>
        </w:rPr>
      </w:r>
    </w:p>
    <w:p w:rsidR="00000000" w:rsidDel="00000000" w:rsidP="00000000" w:rsidRDefault="00000000" w:rsidRPr="00000000" w14:paraId="000001C6">
      <w:pPr>
        <w:jc w:val="both"/>
        <w:rPr/>
      </w:pPr>
      <w:r w:rsidDel="00000000" w:rsidR="00000000" w:rsidRPr="00000000">
        <w:rPr>
          <w:rtl w:val="0"/>
        </w:rPr>
        <w:t xml:space="preserve">Контактная группа по оценке будет оказывать помощь Менеджеру по оценке. Контактная группа будет состоять из координаторов программ Странового офиса ЮНФПА, представителей ключевых национальных партнеров в Беларуси, Регионального советника по мониторингу и оценке Регионального офиса ЮНФПА для стран Восточной Европы и Центральной Азии, а также представителей соответствующих служб Штаб-квартиры ЮНФПА. Роль Контрольной группы будет носить технический характер. У Контактной группы будут следующие основные задачи:</w:t>
      </w:r>
    </w:p>
    <w:p w:rsidR="00000000" w:rsidDel="00000000" w:rsidP="00000000" w:rsidRDefault="00000000" w:rsidRPr="00000000" w14:paraId="000001C7">
      <w:pPr>
        <w:jc w:val="both"/>
        <w:rPr/>
      </w:pPr>
      <w:r w:rsidDel="00000000" w:rsidR="00000000" w:rsidRPr="00000000">
        <w:rPr>
          <w:rtl w:val="0"/>
        </w:rPr>
      </w:r>
    </w:p>
    <w:p w:rsidR="00000000" w:rsidDel="00000000" w:rsidP="00000000" w:rsidRDefault="00000000" w:rsidRPr="00000000" w14:paraId="000001C8">
      <w:pPr>
        <w:numPr>
          <w:ilvl w:val="0"/>
          <w:numId w:val="3"/>
        </w:numPr>
        <w:ind w:left="786" w:hanging="360"/>
        <w:jc w:val="both"/>
        <w:rPr/>
      </w:pPr>
      <w:r w:rsidDel="00000000" w:rsidR="00000000" w:rsidRPr="00000000">
        <w:rPr>
          <w:rtl w:val="0"/>
        </w:rPr>
        <w:t xml:space="preserve">Обсудить техническое задание на проведение ОСП, составленное Менеджером по оценке;</w:t>
      </w:r>
    </w:p>
    <w:p w:rsidR="00000000" w:rsidDel="00000000" w:rsidP="00000000" w:rsidRDefault="00000000" w:rsidRPr="00000000" w14:paraId="000001C9">
      <w:pPr>
        <w:numPr>
          <w:ilvl w:val="0"/>
          <w:numId w:val="3"/>
        </w:numPr>
        <w:ind w:left="786" w:hanging="360"/>
        <w:jc w:val="both"/>
        <w:rPr/>
      </w:pPr>
      <w:r w:rsidDel="00000000" w:rsidR="00000000" w:rsidRPr="00000000">
        <w:rPr>
          <w:rtl w:val="0"/>
        </w:rPr>
        <w:t xml:space="preserve">Предоставить Группе по оценке соответствующую информацию и документацию по оцениваемой программе;</w:t>
      </w:r>
    </w:p>
    <w:p w:rsidR="00000000" w:rsidDel="00000000" w:rsidP="00000000" w:rsidRDefault="00000000" w:rsidRPr="00000000" w14:paraId="000001CA">
      <w:pPr>
        <w:numPr>
          <w:ilvl w:val="0"/>
          <w:numId w:val="3"/>
        </w:numPr>
        <w:ind w:left="786" w:hanging="360"/>
        <w:jc w:val="both"/>
        <w:rPr/>
      </w:pPr>
      <w:r w:rsidDel="00000000" w:rsidR="00000000" w:rsidRPr="00000000">
        <w:rPr>
          <w:rtl w:val="0"/>
        </w:rPr>
        <w:t xml:space="preserve">Содействовать доступу Группы по оценке к ключевым информантам на этапе полевых работ;</w:t>
      </w:r>
    </w:p>
    <w:p w:rsidR="00000000" w:rsidDel="00000000" w:rsidP="00000000" w:rsidRDefault="00000000" w:rsidRPr="00000000" w14:paraId="000001CB">
      <w:pPr>
        <w:numPr>
          <w:ilvl w:val="0"/>
          <w:numId w:val="3"/>
        </w:numPr>
        <w:ind w:left="786" w:hanging="360"/>
        <w:jc w:val="both"/>
        <w:rPr/>
      </w:pPr>
      <w:r w:rsidDel="00000000" w:rsidR="00000000" w:rsidRPr="00000000">
        <w:rPr>
          <w:rtl w:val="0"/>
        </w:rPr>
        <w:t xml:space="preserve">Обсудить и представить комментарии к отчетам, подготовленным Группой по оценке;</w:t>
      </w:r>
    </w:p>
    <w:p w:rsidR="00000000" w:rsidDel="00000000" w:rsidP="00000000" w:rsidRDefault="00000000" w:rsidRPr="00000000" w14:paraId="000001CC">
      <w:pPr>
        <w:numPr>
          <w:ilvl w:val="0"/>
          <w:numId w:val="3"/>
        </w:numPr>
        <w:ind w:left="786" w:hanging="360"/>
        <w:jc w:val="both"/>
        <w:rPr/>
      </w:pPr>
      <w:r w:rsidDel="00000000" w:rsidR="00000000" w:rsidRPr="00000000">
        <w:rPr>
          <w:rtl w:val="0"/>
        </w:rPr>
        <w:t xml:space="preserve">Консультировать по качеству работы, проделанной Группой по оценке;</w:t>
      </w:r>
    </w:p>
    <w:p w:rsidR="00000000" w:rsidDel="00000000" w:rsidP="00000000" w:rsidRDefault="00000000" w:rsidRPr="00000000" w14:paraId="000001CD">
      <w:pPr>
        <w:numPr>
          <w:ilvl w:val="0"/>
          <w:numId w:val="3"/>
        </w:numPr>
        <w:ind w:left="786" w:hanging="360"/>
        <w:jc w:val="both"/>
        <w:rPr/>
      </w:pPr>
      <w:r w:rsidDel="00000000" w:rsidR="00000000" w:rsidRPr="00000000">
        <w:rPr>
          <w:rtl w:val="0"/>
        </w:rPr>
        <w:t xml:space="preserve">Содействовать отражению результатов, выводов и рекомендаций оценки в планировании и реализации последующей программной деятельности.</w:t>
      </w:r>
    </w:p>
    <w:p w:rsidR="00000000" w:rsidDel="00000000" w:rsidP="00000000" w:rsidRDefault="00000000" w:rsidRPr="00000000" w14:paraId="000001CE">
      <w:pPr>
        <w:spacing w:line="240" w:lineRule="auto"/>
        <w:rPr/>
      </w:pPr>
      <w:r w:rsidDel="00000000" w:rsidR="00000000" w:rsidRPr="00000000">
        <w:rPr>
          <w:rtl w:val="0"/>
        </w:rPr>
      </w:r>
    </w:p>
    <w:p w:rsidR="00000000" w:rsidDel="00000000" w:rsidP="00000000" w:rsidRDefault="00000000" w:rsidRPr="00000000" w14:paraId="000001CF">
      <w:pPr>
        <w:jc w:val="both"/>
        <w:rPr/>
      </w:pPr>
      <w:r w:rsidDel="00000000" w:rsidR="00000000" w:rsidRPr="00000000">
        <w:rPr>
          <w:rtl w:val="0"/>
        </w:rPr>
        <w:t xml:space="preserve">Страновой офис ЮНФПА предоставит Группе по оценке все необходимые документы, отчеты и ссылки на веб-материалы. Руководство и персонал Странового офиса ЮНФПА будут доступны для проведения интервью и предоставления технической помощи по мере необходимости. Страновой офис при необходимости также оказывает логистическую поддержку оценщикам в организации встреч, поездок и полевых визитов на места. При необходимости может быть предоставлен доступ к офисным помещениям и ИТ-инфраструктуре.</w:t>
      </w:r>
    </w:p>
    <w:p w:rsidR="00000000" w:rsidDel="00000000" w:rsidP="00000000" w:rsidRDefault="00000000" w:rsidRPr="00000000" w14:paraId="000001D0">
      <w:pPr>
        <w:jc w:val="both"/>
        <w:rPr/>
      </w:pPr>
      <w:r w:rsidDel="00000000" w:rsidR="00000000" w:rsidRPr="00000000">
        <w:rPr>
          <w:rtl w:val="0"/>
        </w:rPr>
        <w:t xml:space="preserve"> </w:t>
      </w:r>
    </w:p>
    <w:p w:rsidR="00000000" w:rsidDel="00000000" w:rsidP="00000000" w:rsidRDefault="00000000" w:rsidRPr="00000000" w14:paraId="000001D1">
      <w:pPr>
        <w:jc w:val="both"/>
        <w:rPr/>
      </w:pPr>
      <w:r w:rsidDel="00000000" w:rsidR="00000000" w:rsidRPr="00000000">
        <w:rPr>
          <w:rtl w:val="0"/>
        </w:rPr>
        <w:t xml:space="preserve">Основная коммуникация между Менеджером по оценке, Группой по оценке и Контактной группой по оценке будет осуществляться по электронной почте; также могут быть организованы «виртуальные» встречи (теле или видеоконференции).</w:t>
      </w:r>
    </w:p>
    <w:p w:rsidR="00000000" w:rsidDel="00000000" w:rsidP="00000000" w:rsidRDefault="00000000" w:rsidRPr="00000000" w14:paraId="000001D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D3">
      <w:pPr>
        <w:rPr>
          <w:b w:val="1"/>
        </w:rPr>
      </w:pPr>
      <w:r w:rsidDel="00000000" w:rsidR="00000000" w:rsidRPr="00000000">
        <w:rPr>
          <w:b w:val="1"/>
          <w:rtl w:val="0"/>
        </w:rPr>
        <w:t xml:space="preserve">ПРИЛОЖЕНИЯ</w:t>
      </w:r>
    </w:p>
    <w:p w:rsidR="00000000" w:rsidDel="00000000" w:rsidP="00000000" w:rsidRDefault="00000000" w:rsidRPr="00000000" w14:paraId="000001D4">
      <w:pPr>
        <w:rPr>
          <w:b w:val="1"/>
        </w:rPr>
      </w:pPr>
      <w:r w:rsidDel="00000000" w:rsidR="00000000" w:rsidRPr="00000000">
        <w:rPr>
          <w:b w:val="1"/>
          <w:rtl w:val="0"/>
        </w:rPr>
        <w:t xml:space="preserve"> </w:t>
      </w:r>
    </w:p>
    <w:p w:rsidR="00000000" w:rsidDel="00000000" w:rsidP="00000000" w:rsidRDefault="00000000" w:rsidRPr="00000000" w14:paraId="000001D5">
      <w:pPr>
        <w:rPr>
          <w:b w:val="1"/>
        </w:rPr>
      </w:pPr>
      <w:r w:rsidDel="00000000" w:rsidR="00000000" w:rsidRPr="00000000">
        <w:rPr>
          <w:b w:val="1"/>
          <w:rtl w:val="0"/>
        </w:rPr>
        <w:t xml:space="preserve">Приложение 1: Кодекс поведения ГООНО/ЮНФПА при проведении оценок</w:t>
      </w:r>
    </w:p>
    <w:p w:rsidR="00000000" w:rsidDel="00000000" w:rsidP="00000000" w:rsidRDefault="00000000" w:rsidRPr="00000000" w14:paraId="000001D6">
      <w:pPr>
        <w:rPr>
          <w:b w:val="1"/>
        </w:rPr>
      </w:pPr>
      <w:r w:rsidDel="00000000" w:rsidR="00000000" w:rsidRPr="00000000">
        <w:rPr>
          <w:rtl w:val="0"/>
        </w:rPr>
      </w:r>
    </w:p>
    <w:p w:rsidR="00000000" w:rsidDel="00000000" w:rsidP="00000000" w:rsidRDefault="00000000" w:rsidRPr="00000000" w14:paraId="000001D7">
      <w:pPr>
        <w:rPr>
          <w:b w:val="1"/>
        </w:rPr>
      </w:pPr>
      <w:r w:rsidDel="00000000" w:rsidR="00000000" w:rsidRPr="00000000">
        <w:rPr>
          <w:b w:val="1"/>
          <w:rtl w:val="0"/>
        </w:rPr>
        <w:t xml:space="preserve">Приложение 2:  Evaluation Quality Assurance and Assessment: Tools and Guidance (</w:t>
      </w:r>
      <w:hyperlink r:id="rId9">
        <w:r w:rsidDel="00000000" w:rsidR="00000000" w:rsidRPr="00000000">
          <w:rPr>
            <w:b w:val="1"/>
            <w:color w:val="0000ff"/>
            <w:highlight w:val="white"/>
            <w:u w:val="single"/>
            <w:rtl w:val="0"/>
          </w:rPr>
          <w:t xml:space="preserve">https://www.unfpa.org/admin-resource/evaluation-quality-assurance-and-assessment-tools-and-guidance</w:t>
        </w:r>
      </w:hyperlink>
      <w:r w:rsidDel="00000000" w:rsidR="00000000" w:rsidRPr="00000000">
        <w:rPr>
          <w:b w:val="1"/>
          <w:rtl w:val="0"/>
        </w:rPr>
        <w:t xml:space="preserve">)</w:t>
      </w:r>
    </w:p>
    <w:p w:rsidR="00000000" w:rsidDel="00000000" w:rsidP="00000000" w:rsidRDefault="00000000" w:rsidRPr="00000000" w14:paraId="000001D8">
      <w:pPr>
        <w:rPr>
          <w:b w:val="1"/>
        </w:rPr>
      </w:pPr>
      <w:r w:rsidDel="00000000" w:rsidR="00000000" w:rsidRPr="00000000">
        <w:rPr>
          <w:rtl w:val="0"/>
        </w:rPr>
      </w:r>
    </w:p>
    <w:p w:rsidR="00000000" w:rsidDel="00000000" w:rsidP="00000000" w:rsidRDefault="00000000" w:rsidRPr="00000000" w14:paraId="000001D9">
      <w:pPr>
        <w:rPr>
          <w:b w:val="1"/>
        </w:rPr>
      </w:pPr>
      <w:r w:rsidDel="00000000" w:rsidR="00000000" w:rsidRPr="00000000">
        <w:rPr>
          <w:b w:val="1"/>
          <w:rtl w:val="0"/>
        </w:rPr>
        <w:t xml:space="preserve">Приложение 3: How to Design and Conduct a Country Programme Evaluation at UNFPA (</w:t>
      </w:r>
      <w:hyperlink r:id="rId10">
        <w:r w:rsidDel="00000000" w:rsidR="00000000" w:rsidRPr="00000000">
          <w:rPr>
            <w:b w:val="1"/>
            <w:color w:val="0000ff"/>
            <w:highlight w:val="white"/>
            <w:u w:val="single"/>
            <w:rtl w:val="0"/>
          </w:rPr>
          <w:t xml:space="preserve">https://www.unfpa.org/admin-resource/how-design-and-conduct-country-programme-evaluation-unfpa</w:t>
        </w:r>
      </w:hyperlink>
      <w:r w:rsidDel="00000000" w:rsidR="00000000" w:rsidRPr="00000000">
        <w:rPr>
          <w:b w:val="1"/>
          <w:rtl w:val="0"/>
        </w:rPr>
        <w:t xml:space="preserve">)</w:t>
      </w:r>
    </w:p>
    <w:p w:rsidR="00000000" w:rsidDel="00000000" w:rsidP="00000000" w:rsidRDefault="00000000" w:rsidRPr="00000000" w14:paraId="000001DA">
      <w:pPr>
        <w:rPr>
          <w:b w:val="1"/>
        </w:rPr>
      </w:pPr>
      <w:r w:rsidDel="00000000" w:rsidR="00000000" w:rsidRPr="00000000">
        <w:rPr>
          <w:rtl w:val="0"/>
        </w:rPr>
      </w:r>
    </w:p>
    <w:p w:rsidR="00000000" w:rsidDel="00000000" w:rsidP="00000000" w:rsidRDefault="00000000" w:rsidRPr="00000000" w14:paraId="000001DB">
      <w:pPr>
        <w:rPr>
          <w:b w:val="1"/>
        </w:rPr>
      </w:pPr>
      <w:r w:rsidDel="00000000" w:rsidR="00000000" w:rsidRPr="00000000">
        <w:rPr>
          <w:b w:val="1"/>
          <w:rtl w:val="0"/>
        </w:rPr>
        <w:t xml:space="preserve">Приложение 4: Equity-focused and gender-responsive lens evaluation (</w:t>
      </w:r>
      <w:hyperlink r:id="rId11">
        <w:r w:rsidDel="00000000" w:rsidR="00000000" w:rsidRPr="00000000">
          <w:rPr>
            <w:b w:val="1"/>
            <w:color w:val="0000ff"/>
            <w:highlight w:val="white"/>
            <w:u w:val="single"/>
            <w:rtl w:val="0"/>
          </w:rPr>
          <w:t xml:space="preserve">https://www.evalpartners.org/evalgender/no-one-left-behind#guidance</w:t>
        </w:r>
      </w:hyperlink>
      <w:r w:rsidDel="00000000" w:rsidR="00000000" w:rsidRPr="00000000">
        <w:rPr>
          <w:b w:val="1"/>
          <w:rtl w:val="0"/>
        </w:rPr>
        <w:t xml:space="preserve">)</w:t>
      </w:r>
    </w:p>
    <w:p w:rsidR="00000000" w:rsidDel="00000000" w:rsidP="00000000" w:rsidRDefault="00000000" w:rsidRPr="00000000" w14:paraId="000001DC">
      <w:pPr>
        <w:rPr>
          <w:b w:val="1"/>
        </w:rPr>
      </w:pPr>
      <w:r w:rsidDel="00000000" w:rsidR="00000000" w:rsidRPr="00000000">
        <w:rPr>
          <w:rtl w:val="0"/>
        </w:rPr>
      </w:r>
    </w:p>
    <w:p w:rsidR="00000000" w:rsidDel="00000000" w:rsidP="00000000" w:rsidRDefault="00000000" w:rsidRPr="00000000" w14:paraId="000001DD">
      <w:pPr>
        <w:rPr>
          <w:b w:val="1"/>
        </w:rPr>
      </w:pPr>
      <w:r w:rsidDel="00000000" w:rsidR="00000000" w:rsidRPr="00000000">
        <w:rPr>
          <w:b w:val="1"/>
          <w:rtl w:val="0"/>
        </w:rPr>
        <w:t xml:space="preserve">Приложение 5: План Реализации</w:t>
      </w:r>
    </w:p>
    <w:p w:rsidR="00000000" w:rsidDel="00000000" w:rsidP="00000000" w:rsidRDefault="00000000" w:rsidRPr="00000000" w14:paraId="000001DE">
      <w:pPr>
        <w:rPr>
          <w:b w:val="1"/>
        </w:rPr>
      </w:pPr>
      <w:r w:rsidDel="00000000" w:rsidR="00000000" w:rsidRPr="00000000">
        <w:rPr>
          <w:rtl w:val="0"/>
        </w:rPr>
      </w:r>
    </w:p>
    <w:p w:rsidR="00000000" w:rsidDel="00000000" w:rsidP="00000000" w:rsidRDefault="00000000" w:rsidRPr="00000000" w14:paraId="000001DF">
      <w:pPr>
        <w:rPr>
          <w:b w:val="1"/>
        </w:rPr>
      </w:pPr>
      <w:r w:rsidDel="00000000" w:rsidR="00000000" w:rsidRPr="00000000">
        <w:rPr>
          <w:b w:val="1"/>
          <w:rtl w:val="0"/>
        </w:rPr>
        <w:t xml:space="preserve">Приложение 1: Кодекс поведения ГООНО/ЮНФПА при проведении оценок</w:t>
      </w:r>
    </w:p>
    <w:p w:rsidR="00000000" w:rsidDel="00000000" w:rsidP="00000000" w:rsidRDefault="00000000" w:rsidRPr="00000000" w14:paraId="000001E0">
      <w:pPr>
        <w:rPr>
          <w:b w:val="1"/>
        </w:rPr>
      </w:pPr>
      <w:r w:rsidDel="00000000" w:rsidR="00000000" w:rsidRPr="00000000">
        <w:rPr>
          <w:rtl w:val="0"/>
        </w:rPr>
      </w:r>
    </w:p>
    <w:p w:rsidR="00000000" w:rsidDel="00000000" w:rsidP="00000000" w:rsidRDefault="00000000" w:rsidRPr="00000000" w14:paraId="000001E1">
      <w:pPr>
        <w:rPr>
          <w:b w:val="1"/>
        </w:rPr>
      </w:pPr>
      <w:r w:rsidDel="00000000" w:rsidR="00000000" w:rsidRPr="00000000">
        <w:rPr>
          <w:b w:val="1"/>
          <w:rtl w:val="0"/>
        </w:rPr>
        <w:t xml:space="preserve">КОДЕКС ПОВЕДЕНИЯ ГООНО/ЮНФПА ПРИ ПРОВЕДЕНИИ ОЦЕНКИ</w:t>
      </w:r>
    </w:p>
    <w:p w:rsidR="00000000" w:rsidDel="00000000" w:rsidP="00000000" w:rsidRDefault="00000000" w:rsidRPr="00000000" w14:paraId="000001E2">
      <w:pPr>
        <w:rPr>
          <w:b w:val="1"/>
        </w:rPr>
      </w:pPr>
      <w:r w:rsidDel="00000000" w:rsidR="00000000" w:rsidRPr="00000000">
        <w:rPr>
          <w:b w:val="1"/>
          <w:rtl w:val="0"/>
        </w:rPr>
        <w:t xml:space="preserve"> </w:t>
      </w:r>
    </w:p>
    <w:p w:rsidR="00000000" w:rsidDel="00000000" w:rsidP="00000000" w:rsidRDefault="00000000" w:rsidRPr="00000000" w14:paraId="000001E3">
      <w:pPr>
        <w:jc w:val="both"/>
        <w:rPr/>
      </w:pPr>
      <w:r w:rsidDel="00000000" w:rsidR="00000000" w:rsidRPr="00000000">
        <w:rPr>
          <w:rtl w:val="0"/>
        </w:rPr>
        <w:t xml:space="preserve">Оценка мероприятий, осуществляемых при поддержке ЮНФПА, должна быть независимой, беспристрастной и тщательной. Оценка должна способствовать обучению и подотчетности. Следовательно, оценщики должны обладать личной и профессиональной честностью и руководствоваться правилами поведения при выполнении своей работы. В частности:</w:t>
      </w:r>
    </w:p>
    <w:p w:rsidR="00000000" w:rsidDel="00000000" w:rsidP="00000000" w:rsidRDefault="00000000" w:rsidRPr="00000000" w14:paraId="000001E4">
      <w:pP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E5">
      <w:pPr>
        <w:numPr>
          <w:ilvl w:val="0"/>
          <w:numId w:val="1"/>
        </w:numPr>
        <w:ind w:left="765" w:hanging="405"/>
        <w:jc w:val="both"/>
        <w:rPr/>
      </w:pPr>
      <w:r w:rsidDel="00000000" w:rsidR="00000000" w:rsidRPr="00000000">
        <w:rPr>
          <w:rtl w:val="0"/>
        </w:rPr>
        <w:t xml:space="preserve">Во избежание </w:t>
      </w:r>
      <w:r w:rsidDel="00000000" w:rsidR="00000000" w:rsidRPr="00000000">
        <w:rPr>
          <w:b w:val="1"/>
          <w:rtl w:val="0"/>
        </w:rPr>
        <w:t xml:space="preserve">конфликта интересов</w:t>
      </w:r>
      <w:r w:rsidDel="00000000" w:rsidR="00000000" w:rsidRPr="00000000">
        <w:rPr>
          <w:rtl w:val="0"/>
        </w:rPr>
        <w:t xml:space="preserve"> и необоснованного давления оценщики должны быть </w:t>
      </w:r>
      <w:r w:rsidDel="00000000" w:rsidR="00000000" w:rsidRPr="00000000">
        <w:rPr>
          <w:b w:val="1"/>
          <w:rtl w:val="0"/>
        </w:rPr>
        <w:t xml:space="preserve">независимыми</w:t>
      </w:r>
      <w:r w:rsidDel="00000000" w:rsidR="00000000" w:rsidRPr="00000000">
        <w:rPr>
          <w:rtl w:val="0"/>
        </w:rPr>
        <w:t xml:space="preserve">, что означает, что в состав Группы по оценке не должны входить лица, несущие прямую ответственность за формирование политики/программной деятельности,  разработку объекта оценки или ее общее руководство, или лица, которые, как ожидается, могут приступить к выполнению таких функции в ближайшем будущем. Оценщики не должны быть материально заинтересованы в результатах оценки и должны действовать совершенно свободно при беспристрастном проведении своей оценки, не опасаясь возможных негативных последствий для своей дальнейшей карьеры. Они должны иметь возможность свободно выражать свое мнение.</w:t>
      </w:r>
    </w:p>
    <w:p w:rsidR="00000000" w:rsidDel="00000000" w:rsidP="00000000" w:rsidRDefault="00000000" w:rsidRPr="00000000" w14:paraId="000001E6">
      <w:pPr>
        <w:jc w:val="both"/>
        <w:rPr/>
      </w:pPr>
      <w:r w:rsidDel="00000000" w:rsidR="00000000" w:rsidRPr="00000000">
        <w:rPr>
          <w:rtl w:val="0"/>
        </w:rPr>
        <w:t xml:space="preserve"> </w:t>
      </w:r>
    </w:p>
    <w:p w:rsidR="00000000" w:rsidDel="00000000" w:rsidP="00000000" w:rsidRDefault="00000000" w:rsidRPr="00000000" w14:paraId="000001E7">
      <w:pPr>
        <w:numPr>
          <w:ilvl w:val="0"/>
          <w:numId w:val="1"/>
        </w:numPr>
        <w:ind w:left="765" w:hanging="405"/>
        <w:jc w:val="both"/>
        <w:rPr/>
      </w:pPr>
      <w:r w:rsidDel="00000000" w:rsidR="00000000" w:rsidRPr="00000000">
        <w:rPr>
          <w:rtl w:val="0"/>
        </w:rPr>
        <w:t xml:space="preserve">Оценщики должны защищать анонимность и </w:t>
      </w:r>
      <w:r w:rsidDel="00000000" w:rsidR="00000000" w:rsidRPr="00000000">
        <w:rPr>
          <w:b w:val="1"/>
          <w:rtl w:val="0"/>
        </w:rPr>
        <w:t xml:space="preserve">конфиденциальность отдельных информантов</w:t>
      </w:r>
      <w:r w:rsidDel="00000000" w:rsidR="00000000" w:rsidRPr="00000000">
        <w:rPr>
          <w:rtl w:val="0"/>
        </w:rPr>
        <w:t xml:space="preserve">. Они должны уведомлять заранее, сводить к минимуму время, затрачиваемое на ведение переговоров, а также уважать право людей не участвовать. Оценщики должны уважать право юридических и физических лиц на доверительное представление информации и гарантировать невозможность отследить источник конфиденциальной информации. Оценщики </w:t>
      </w:r>
      <w:r w:rsidDel="00000000" w:rsidR="00000000" w:rsidRPr="00000000">
        <w:rPr>
          <w:b w:val="1"/>
          <w:rtl w:val="0"/>
        </w:rPr>
        <w:t xml:space="preserve">не должны оценивать результаты работы отдельных сотрудников,</w:t>
      </w:r>
      <w:r w:rsidDel="00000000" w:rsidR="00000000" w:rsidRPr="00000000">
        <w:rPr>
          <w:rtl w:val="0"/>
        </w:rPr>
        <w:t xml:space="preserve"> и при оценке управленческих функций им следует должным образом учитывать этот принцип.</w:t>
      </w:r>
    </w:p>
    <w:p w:rsidR="00000000" w:rsidDel="00000000" w:rsidP="00000000" w:rsidRDefault="00000000" w:rsidRPr="00000000" w14:paraId="000001E8">
      <w:pPr>
        <w:jc w:val="both"/>
        <w:rPr/>
      </w:pPr>
      <w:r w:rsidDel="00000000" w:rsidR="00000000" w:rsidRPr="00000000">
        <w:rPr>
          <w:rtl w:val="0"/>
        </w:rPr>
        <w:t xml:space="preserve"> </w:t>
      </w:r>
    </w:p>
    <w:p w:rsidR="00000000" w:rsidDel="00000000" w:rsidP="00000000" w:rsidRDefault="00000000" w:rsidRPr="00000000" w14:paraId="000001E9">
      <w:pPr>
        <w:numPr>
          <w:ilvl w:val="0"/>
          <w:numId w:val="1"/>
        </w:numPr>
        <w:ind w:left="765" w:hanging="405"/>
        <w:jc w:val="both"/>
        <w:rPr/>
      </w:pPr>
      <w:r w:rsidDel="00000000" w:rsidR="00000000" w:rsidRPr="00000000">
        <w:rPr>
          <w:rtl w:val="0"/>
        </w:rPr>
        <w:t xml:space="preserve">Иногда оценщики обнаруживают данные, свидетельствующие о должностных проступках. Такая информация должна доводиться до сведения соответствующего органа по расследованиям без широкой огласки. </w:t>
      </w:r>
    </w:p>
    <w:p w:rsidR="00000000" w:rsidDel="00000000" w:rsidP="00000000" w:rsidRDefault="00000000" w:rsidRPr="00000000" w14:paraId="000001EA">
      <w:pPr>
        <w:jc w:val="both"/>
        <w:rPr/>
      </w:pPr>
      <w:r w:rsidDel="00000000" w:rsidR="00000000" w:rsidRPr="00000000">
        <w:rPr>
          <w:rtl w:val="0"/>
        </w:rPr>
        <w:t xml:space="preserve"> </w:t>
      </w:r>
    </w:p>
    <w:p w:rsidR="00000000" w:rsidDel="00000000" w:rsidP="00000000" w:rsidRDefault="00000000" w:rsidRPr="00000000" w14:paraId="000001EB">
      <w:pPr>
        <w:numPr>
          <w:ilvl w:val="0"/>
          <w:numId w:val="1"/>
        </w:numPr>
        <w:ind w:left="765" w:hanging="405"/>
        <w:jc w:val="both"/>
        <w:rPr/>
      </w:pPr>
      <w:r w:rsidDel="00000000" w:rsidR="00000000" w:rsidRPr="00000000">
        <w:rPr>
          <w:rtl w:val="0"/>
        </w:rPr>
        <w:t xml:space="preserve">Оценщики должны </w:t>
      </w:r>
      <w:r w:rsidDel="00000000" w:rsidR="00000000" w:rsidRPr="00000000">
        <w:rPr>
          <w:b w:val="1"/>
          <w:rtl w:val="0"/>
        </w:rPr>
        <w:t xml:space="preserve">уважать убеждения, манеры и обычаи </w:t>
      </w:r>
      <w:r w:rsidDel="00000000" w:rsidR="00000000" w:rsidRPr="00000000">
        <w:rPr>
          <w:rtl w:val="0"/>
        </w:rPr>
        <w:t xml:space="preserve">и действовать честно по отношению ко всем заинтересованным сторонам. В свете положений Всеобщей декларации прав человека Организации Объединенных Наций оценщики должны </w:t>
      </w:r>
      <w:r w:rsidDel="00000000" w:rsidR="00000000" w:rsidRPr="00000000">
        <w:rPr>
          <w:b w:val="1"/>
          <w:rtl w:val="0"/>
        </w:rPr>
        <w:t xml:space="preserve">с пониманием относиться к проблемам дискриминации и гендерного неравенства и соответствующим образом учитывать эти моменты</w:t>
      </w:r>
      <w:r w:rsidDel="00000000" w:rsidR="00000000" w:rsidRPr="00000000">
        <w:rPr>
          <w:rtl w:val="0"/>
        </w:rPr>
        <w:t xml:space="preserve">. Им следует избегать оскорбления достоинства и самоуважения тех лиц, с которыми они контактируют в ходе оценки. Зная, что оценка может негативно повлиять на интересы некоторых заинтересованных сторон, оценщики должны проводить оценку и сообщать о своей цели и результатах таким образом, чтобы четко учитывать достоинство и самоуважение заинтересованных сторон.</w:t>
      </w:r>
    </w:p>
    <w:p w:rsidR="00000000" w:rsidDel="00000000" w:rsidP="00000000" w:rsidRDefault="00000000" w:rsidRPr="00000000" w14:paraId="000001EC">
      <w:pPr>
        <w:ind w:left="765" w:hanging="720"/>
        <w:jc w:val="both"/>
        <w:rPr/>
      </w:pPr>
      <w:r w:rsidDel="00000000" w:rsidR="00000000" w:rsidRPr="00000000">
        <w:rPr>
          <w:rtl w:val="0"/>
        </w:rPr>
      </w:r>
    </w:p>
    <w:p w:rsidR="00000000" w:rsidDel="00000000" w:rsidP="00000000" w:rsidRDefault="00000000" w:rsidRPr="00000000" w14:paraId="000001ED">
      <w:pPr>
        <w:numPr>
          <w:ilvl w:val="0"/>
          <w:numId w:val="1"/>
        </w:numPr>
        <w:ind w:left="765" w:hanging="405"/>
        <w:jc w:val="both"/>
        <w:rPr/>
      </w:pPr>
      <w:r w:rsidDel="00000000" w:rsidR="00000000" w:rsidRPr="00000000">
        <w:rPr>
          <w:rtl w:val="0"/>
        </w:rPr>
        <w:t xml:space="preserve">Оценщики несут ответственность за четкое, точное и справедливое письменное и/или устное представление данных об ограничениях, научно обоснованных фактах, выводах и рекомендациях.</w:t>
      </w:r>
    </w:p>
    <w:p w:rsidR="00000000" w:rsidDel="00000000" w:rsidP="00000000" w:rsidRDefault="00000000" w:rsidRPr="00000000" w14:paraId="000001EE">
      <w:pPr>
        <w:jc w:val="both"/>
        <w:rPr/>
      </w:pPr>
      <w:r w:rsidDel="00000000" w:rsidR="00000000" w:rsidRPr="00000000">
        <w:rPr>
          <w:rtl w:val="0"/>
        </w:rPr>
      </w:r>
    </w:p>
    <w:p w:rsidR="00000000" w:rsidDel="00000000" w:rsidP="00000000" w:rsidRDefault="00000000" w:rsidRPr="00000000" w14:paraId="000001EF">
      <w:pPr>
        <w:jc w:val="both"/>
        <w:rPr/>
      </w:pPr>
      <w:r w:rsidDel="00000000" w:rsidR="00000000" w:rsidRPr="00000000">
        <w:rPr>
          <w:rtl w:val="0"/>
        </w:rPr>
        <w:t xml:space="preserve">Подробная информация об этике и независимости в оценке доступна в Кодексе поведения ГООНО при проведении оценок в системе ООН и Нормах оценки в системе ООН:</w:t>
      </w:r>
    </w:p>
    <w:p w:rsidR="00000000" w:rsidDel="00000000" w:rsidP="00000000" w:rsidRDefault="00000000" w:rsidRPr="00000000" w14:paraId="000001F0">
      <w:pPr>
        <w:jc w:val="both"/>
        <w:rPr/>
      </w:pPr>
      <w:r w:rsidDel="00000000" w:rsidR="00000000" w:rsidRPr="00000000">
        <w:rPr>
          <w:rtl w:val="0"/>
        </w:rPr>
      </w:r>
    </w:p>
    <w:p w:rsidR="00000000" w:rsidDel="00000000" w:rsidP="00000000" w:rsidRDefault="00000000" w:rsidRPr="00000000" w14:paraId="000001F1">
      <w:pPr>
        <w:jc w:val="both"/>
        <w:rPr/>
      </w:pPr>
      <w:r w:rsidDel="00000000" w:rsidR="00000000" w:rsidRPr="00000000">
        <w:rPr>
          <w:rtl w:val="0"/>
        </w:rPr>
        <w:t xml:space="preserve">http://www.unevaluation.org/search/index.jsp?q=UNEG+Ethical+Guidelines</w:t>
      </w:r>
    </w:p>
    <w:p w:rsidR="00000000" w:rsidDel="00000000" w:rsidP="00000000" w:rsidRDefault="00000000" w:rsidRPr="00000000" w14:paraId="000001F2">
      <w:pPr>
        <w:jc w:val="both"/>
        <w:rPr/>
      </w:pPr>
      <w:r w:rsidDel="00000000" w:rsidR="00000000" w:rsidRPr="00000000">
        <w:rPr>
          <w:rtl w:val="0"/>
        </w:rPr>
        <w:t xml:space="preserve">http://www.unevaluation.org/papersandpubs/documentdetail.jsp?doc_id=21</w:t>
      </w:r>
    </w:p>
    <w:p w:rsidR="00000000" w:rsidDel="00000000" w:rsidP="00000000" w:rsidRDefault="00000000" w:rsidRPr="00000000" w14:paraId="000001F3">
      <w:pPr>
        <w:jc w:val="both"/>
        <w:rPr/>
      </w:pPr>
      <w:r w:rsidDel="00000000" w:rsidR="00000000" w:rsidRPr="00000000">
        <w:rPr>
          <w:rtl w:val="0"/>
        </w:rPr>
        <w:t xml:space="preserve"> </w:t>
      </w:r>
    </w:p>
    <w:p w:rsidR="00000000" w:rsidDel="00000000" w:rsidP="00000000" w:rsidRDefault="00000000" w:rsidRPr="00000000" w14:paraId="000001F4">
      <w:pPr>
        <w:jc w:val="both"/>
        <w:rPr>
          <w:b w:val="1"/>
        </w:rPr>
      </w:pPr>
      <w:r w:rsidDel="00000000" w:rsidR="00000000" w:rsidRPr="00000000">
        <w:rPr>
          <w:b w:val="1"/>
          <w:rtl w:val="0"/>
        </w:rPr>
        <w:t xml:space="preserve"> </w:t>
      </w:r>
    </w:p>
    <w:p w:rsidR="00000000" w:rsidDel="00000000" w:rsidP="00000000" w:rsidRDefault="00000000" w:rsidRPr="00000000" w14:paraId="000001F5">
      <w:pPr>
        <w:jc w:val="center"/>
        <w:rPr>
          <w:b w:val="1"/>
        </w:rPr>
      </w:pPr>
      <w:r w:rsidDel="00000000" w:rsidR="00000000" w:rsidRPr="00000000">
        <w:rPr>
          <w:b w:val="1"/>
          <w:rtl w:val="0"/>
        </w:rPr>
        <w:t xml:space="preserve">[Укажите дату, подпишите и напишите «Прочитано и согласовано»]</w:t>
      </w:r>
    </w:p>
    <w:p w:rsidR="00000000" w:rsidDel="00000000" w:rsidP="00000000" w:rsidRDefault="00000000" w:rsidRPr="00000000" w14:paraId="000001F6">
      <w:pPr>
        <w:jc w:val="both"/>
        <w:rPr>
          <w:b w:val="1"/>
        </w:rPr>
      </w:pPr>
      <w:r w:rsidDel="00000000" w:rsidR="00000000" w:rsidRPr="00000000">
        <w:rPr>
          <w:rtl w:val="0"/>
        </w:rPr>
      </w:r>
    </w:p>
    <w:p w:rsidR="00000000" w:rsidDel="00000000" w:rsidP="00000000" w:rsidRDefault="00000000" w:rsidRPr="00000000" w14:paraId="000001F7">
      <w:pPr>
        <w:jc w:val="both"/>
        <w:rPr>
          <w:b w:val="1"/>
        </w:rPr>
      </w:pPr>
      <w:r w:rsidDel="00000000" w:rsidR="00000000" w:rsidRPr="00000000">
        <w:rPr>
          <w:b w:val="1"/>
          <w:rtl w:val="0"/>
        </w:rPr>
        <w:t xml:space="preserve">Конец.</w:t>
      </w:r>
    </w:p>
    <w:p w:rsidR="00000000" w:rsidDel="00000000" w:rsidP="00000000" w:rsidRDefault="00000000" w:rsidRPr="00000000" w14:paraId="000001F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F9">
      <w:pPr>
        <w:jc w:val="both"/>
        <w:rPr>
          <w:b w:val="1"/>
        </w:rPr>
      </w:pPr>
      <w:r w:rsidDel="00000000" w:rsidR="00000000" w:rsidRPr="00000000">
        <w:rPr>
          <w:b w:val="1"/>
          <w:rtl w:val="0"/>
        </w:rPr>
        <w:t xml:space="preserve">Краткий обзор достижений  </w:t>
      </w:r>
    </w:p>
    <w:p w:rsidR="00000000" w:rsidDel="00000000" w:rsidP="00000000" w:rsidRDefault="00000000" w:rsidRPr="00000000" w14:paraId="000001FA">
      <w:pPr>
        <w:jc w:val="both"/>
        <w:rPr/>
      </w:pPr>
      <w:r w:rsidDel="00000000" w:rsidR="00000000" w:rsidRPr="00000000">
        <w:rPr>
          <w:rtl w:val="0"/>
        </w:rPr>
        <w:t xml:space="preserve">В оценочном отчете о фактических данных за 2011-2015 годы, а также в годовых отчетах за 2016</w:t>
      </w:r>
      <w:r w:rsidDel="00000000" w:rsidR="00000000" w:rsidRPr="00000000">
        <w:rPr>
          <w:vertAlign w:val="superscript"/>
        </w:rPr>
        <w:footnoteReference w:customMarkFollows="0" w:id="6"/>
      </w:r>
      <w:r w:rsidDel="00000000" w:rsidR="00000000" w:rsidRPr="00000000">
        <w:rPr>
          <w:rtl w:val="0"/>
        </w:rPr>
        <w:t xml:space="preserve"> и 2017 годы</w:t>
      </w:r>
      <w:r w:rsidDel="00000000" w:rsidR="00000000" w:rsidRPr="00000000">
        <w:rPr>
          <w:vertAlign w:val="superscript"/>
        </w:rPr>
        <w:footnoteReference w:customMarkFollows="0" w:id="7"/>
      </w:r>
      <w:r w:rsidDel="00000000" w:rsidR="00000000" w:rsidRPr="00000000">
        <w:rPr>
          <w:rtl w:val="0"/>
        </w:rPr>
        <w:t xml:space="preserve"> представлены результаты и итоги в тематических областях сексуального репродуктивного здоровья и прав, гендерного равенства, народонаселения и развития. Эта информация кратко представлена ниже. </w:t>
      </w:r>
    </w:p>
    <w:p w:rsidR="00000000" w:rsidDel="00000000" w:rsidP="00000000" w:rsidRDefault="00000000" w:rsidRPr="00000000" w14:paraId="000001FB">
      <w:pPr>
        <w:jc w:val="both"/>
        <w:rPr/>
      </w:pPr>
      <w:r w:rsidDel="00000000" w:rsidR="00000000" w:rsidRPr="00000000">
        <w:rPr>
          <w:rtl w:val="0"/>
        </w:rPr>
      </w:r>
    </w:p>
    <w:p w:rsidR="00000000" w:rsidDel="00000000" w:rsidP="00000000" w:rsidRDefault="00000000" w:rsidRPr="00000000" w14:paraId="000001FC">
      <w:pPr>
        <w:jc w:val="both"/>
        <w:rPr/>
      </w:pPr>
      <w:r w:rsidDel="00000000" w:rsidR="00000000" w:rsidRPr="00000000">
        <w:rPr>
          <w:b w:val="1"/>
          <w:rtl w:val="0"/>
        </w:rPr>
        <w:t xml:space="preserve">Сексуальное и репродуктивное здоровье и права </w:t>
      </w:r>
      <w:r w:rsidDel="00000000" w:rsidR="00000000" w:rsidRPr="00000000">
        <w:rPr>
          <w:rtl w:val="0"/>
        </w:rPr>
      </w:r>
    </w:p>
    <w:p w:rsidR="00000000" w:rsidDel="00000000" w:rsidP="00000000" w:rsidRDefault="00000000" w:rsidRPr="00000000" w14:paraId="000001FD">
      <w:pPr>
        <w:jc w:val="both"/>
        <w:rPr/>
      </w:pPr>
      <w:r w:rsidDel="00000000" w:rsidR="00000000" w:rsidRPr="00000000">
        <w:rPr>
          <w:rtl w:val="0"/>
        </w:rPr>
        <w:t xml:space="preserve">ЮНФПА содействовал наращиванию национального потенциала в разработке научно обоснованных национальных и региональных политик и программ в области репродуктивного здоровья на основе высококачественных данных о репродуктивном здоровье населения. Фонд также улучшил систему индикаторов качества и доступа к услугам в области репродуктивного здоровья. Также Фонд создал систему мониторинга и оценки репродуктивного здоровья населения, укрепил потенциал руководства системы здравоохранения в использовании этих данных для принятия решений и разработал политику и программы в области репродуктивного здоровья в соответствии с принципами научно обоснованной медицины. Например, ЮНФПА активно оказывает поддержку Министерству здравоохранения в разработке Национальной стратегии по вопросам сексуального и репродуктивного здоровья, которая позднее была приостановлена Министерством здравоохранения.</w:t>
      </w:r>
    </w:p>
    <w:p w:rsidR="00000000" w:rsidDel="00000000" w:rsidP="00000000" w:rsidRDefault="00000000" w:rsidRPr="00000000" w14:paraId="000001FE">
      <w:pPr>
        <w:jc w:val="both"/>
        <w:rPr>
          <w:highlight w:val="white"/>
        </w:rPr>
      </w:pPr>
      <w:r w:rsidDel="00000000" w:rsidR="00000000" w:rsidRPr="00000000">
        <w:rPr>
          <w:rtl w:val="0"/>
        </w:rPr>
      </w:r>
    </w:p>
    <w:p w:rsidR="00000000" w:rsidDel="00000000" w:rsidP="00000000" w:rsidRDefault="00000000" w:rsidRPr="00000000" w14:paraId="000001FF">
      <w:pPr>
        <w:jc w:val="both"/>
        <w:rPr/>
      </w:pPr>
      <w:r w:rsidDel="00000000" w:rsidR="00000000" w:rsidRPr="00000000">
        <w:rPr>
          <w:rtl w:val="0"/>
        </w:rPr>
        <w:t xml:space="preserve">ЮНФПА также содействует совершенствованию связи между репродуктивным здоровьем и услугами в связи с ВИЧ для обеспечения того, чтобы люди, живущие с ВИЧ, имели доступ к информации и услугам по планированию семьи, интервалу между родами, профилактике и лечению ИППП и безопасной сексуальной жизни. Фонд обеспечивал решение этой задачи через обучение медицинских работников консультированию людей, живущих с ВИЧ, по вопросам репродуктивного здоровья; пересмотр/разработку протоколов о репродуктивном и сексуальном здоровье; повышение осведомленности людей, живущих с ВИЧ, о их репродуктивном и сексуальном здоровье, а также соответствующих услугах.</w:t>
      </w:r>
    </w:p>
    <w:p w:rsidR="00000000" w:rsidDel="00000000" w:rsidP="00000000" w:rsidRDefault="00000000" w:rsidRPr="00000000" w14:paraId="00000200">
      <w:pPr>
        <w:jc w:val="both"/>
        <w:rPr/>
      </w:pPr>
      <w:r w:rsidDel="00000000" w:rsidR="00000000" w:rsidRPr="00000000">
        <w:rPr>
          <w:rtl w:val="0"/>
        </w:rPr>
      </w:r>
    </w:p>
    <w:p w:rsidR="00000000" w:rsidDel="00000000" w:rsidP="00000000" w:rsidRDefault="00000000" w:rsidRPr="00000000" w14:paraId="00000201">
      <w:pPr>
        <w:jc w:val="both"/>
        <w:rPr/>
      </w:pPr>
      <w:r w:rsidDel="00000000" w:rsidR="00000000" w:rsidRPr="00000000">
        <w:rPr>
          <w:rtl w:val="0"/>
        </w:rPr>
        <w:t xml:space="preserve">Была оказана поддержка национальным инициативам, направленным на расширение доступа молодежи к услугам в области репродуктивного здоровья путем внедрения подхода, ориентированного на молодежь, в медицинскую практику. Для обучения молодежи использовалась сеть Youth-Peer (Y-peer); данная сеть стремится ​​укреплять и распространять практику обучения по вопросам сексуального и репродуктивного здоровья (СРЗ) подростков в формате равный обучает равного.</w:t>
      </w:r>
    </w:p>
    <w:p w:rsidR="00000000" w:rsidDel="00000000" w:rsidP="00000000" w:rsidRDefault="00000000" w:rsidRPr="00000000" w14:paraId="00000202">
      <w:pPr>
        <w:jc w:val="both"/>
        <w:rPr/>
      </w:pPr>
      <w:r w:rsidDel="00000000" w:rsidR="00000000" w:rsidRPr="00000000">
        <w:rPr>
          <w:rtl w:val="0"/>
        </w:rPr>
      </w:r>
    </w:p>
    <w:p w:rsidR="00000000" w:rsidDel="00000000" w:rsidP="00000000" w:rsidRDefault="00000000" w:rsidRPr="00000000" w14:paraId="00000203">
      <w:pPr>
        <w:jc w:val="both"/>
        <w:rPr/>
      </w:pPr>
      <w:r w:rsidDel="00000000" w:rsidR="00000000" w:rsidRPr="00000000">
        <w:rPr>
          <w:rtl w:val="0"/>
        </w:rPr>
        <w:t xml:space="preserve">ЮНФПА также оказывал поддержку национальным партнерам в интеграции равного обучения в учебные планы для решения вопросов сексуального и репродуктивного здоровья. Кроме того, специалисты в области здравоохранения прошли подготовку по основам консультирования подростков и молодежи по вопросам репродуктивного здоровья посредством проведения учебных семинаров и обновления учебных программ для врачей и медсестер. </w:t>
      </w:r>
    </w:p>
    <w:p w:rsidR="00000000" w:rsidDel="00000000" w:rsidP="00000000" w:rsidRDefault="00000000" w:rsidRPr="00000000" w14:paraId="00000204">
      <w:pPr>
        <w:jc w:val="both"/>
        <w:rPr/>
      </w:pPr>
      <w:r w:rsidDel="00000000" w:rsidR="00000000" w:rsidRPr="00000000">
        <w:rPr>
          <w:rtl w:val="0"/>
        </w:rPr>
        <w:t xml:space="preserve"> </w:t>
      </w:r>
    </w:p>
    <w:p w:rsidR="00000000" w:rsidDel="00000000" w:rsidP="00000000" w:rsidRDefault="00000000" w:rsidRPr="00000000" w14:paraId="00000205">
      <w:pPr>
        <w:jc w:val="both"/>
        <w:rPr/>
      </w:pPr>
      <w:r w:rsidDel="00000000" w:rsidR="00000000" w:rsidRPr="00000000">
        <w:rPr>
          <w:rtl w:val="0"/>
        </w:rPr>
        <w:t xml:space="preserve">ЮНФПА в сотрудничестве с ВОЗ, ЮНИСЕФ и ПРООН осуществляет совместный проект «Профилактика неинфекционных заболеваний, продвижение здорового образа жизни и поддержка модернизации системы здравоохранения в Республике Беларусь». ЮНФПА отвечает за мероприятия, направленные на улучшение качества медицинских услуг для матери и ребенка и поддержку в осуществлении программ скрининга рака молочной железы на региональном уровне.</w:t>
      </w:r>
    </w:p>
    <w:p w:rsidR="00000000" w:rsidDel="00000000" w:rsidP="00000000" w:rsidRDefault="00000000" w:rsidRPr="00000000" w14:paraId="00000206">
      <w:pPr>
        <w:jc w:val="both"/>
        <w:rPr/>
      </w:pPr>
      <w:r w:rsidDel="00000000" w:rsidR="00000000" w:rsidRPr="00000000">
        <w:rPr>
          <w:rtl w:val="0"/>
        </w:rPr>
      </w:r>
    </w:p>
    <w:p w:rsidR="00000000" w:rsidDel="00000000" w:rsidP="00000000" w:rsidRDefault="00000000" w:rsidRPr="00000000" w14:paraId="00000207">
      <w:pPr>
        <w:jc w:val="both"/>
        <w:rPr>
          <w:b w:val="1"/>
        </w:rPr>
      </w:pPr>
      <w:r w:rsidDel="00000000" w:rsidR="00000000" w:rsidRPr="00000000">
        <w:rPr>
          <w:b w:val="1"/>
          <w:rtl w:val="0"/>
        </w:rPr>
        <w:t xml:space="preserve">Гендерное равенство</w:t>
      </w:r>
    </w:p>
    <w:p w:rsidR="00000000" w:rsidDel="00000000" w:rsidP="00000000" w:rsidRDefault="00000000" w:rsidRPr="00000000" w14:paraId="00000208">
      <w:pPr>
        <w:jc w:val="both"/>
        <w:rPr/>
      </w:pPr>
      <w:r w:rsidDel="00000000" w:rsidR="00000000" w:rsidRPr="00000000">
        <w:rPr>
          <w:rtl w:val="0"/>
        </w:rPr>
        <w:t xml:space="preserve">В течение последних лет ЮНФПА оказывал экспертную поддержку для укрепления механизмов реагирования на случаи гендерного насилия в Беларуси путем приведения правовых и практических рамок в соответствие международным стандартам, распространения научно обоснованных данных и решения проблем существующих гендерных стереотипов.</w:t>
      </w:r>
    </w:p>
    <w:p w:rsidR="00000000" w:rsidDel="00000000" w:rsidP="00000000" w:rsidRDefault="00000000" w:rsidRPr="00000000" w14:paraId="00000209">
      <w:pPr>
        <w:jc w:val="both"/>
        <w:rPr/>
      </w:pPr>
      <w:r w:rsidDel="00000000" w:rsidR="00000000" w:rsidRPr="00000000">
        <w:rPr>
          <w:rtl w:val="0"/>
        </w:rPr>
      </w:r>
    </w:p>
    <w:p w:rsidR="00000000" w:rsidDel="00000000" w:rsidP="00000000" w:rsidRDefault="00000000" w:rsidRPr="00000000" w14:paraId="0000020A">
      <w:pPr>
        <w:jc w:val="both"/>
        <w:rPr/>
      </w:pPr>
      <w:r w:rsidDel="00000000" w:rsidR="00000000" w:rsidRPr="00000000">
        <w:rPr>
          <w:rtl w:val="0"/>
        </w:rPr>
        <w:t xml:space="preserve">ЮНФПА расширил национальный потенциал партнеров для решения проблем, связанных с домашним насилием, путем обучения специалистов – поставщиков социальных, медицинских и образовательных услуг и милиции. ЮНФПА также участвовал в создании и работе приютов и национальной горячей линии для лиц, пострадавших от домашнего насилия. Кроме того, Фонд работал над принятием Протоколов о сотрудничестве, которые в настоящее время институционализируются основными заинтересованными сторонами и поставщиками услуг на региональном и местном уровнях в качестве механизмов предоставления и обеспечения всесторонней помощи пострадавшим от домашнего насилия по всей стране. Была разработана и пилотирована модель работы с мужчинами-правонарушителями, которые прибегают к домашнему насилию; данная модель продвигается в рамках комплексных механизмов реагирования на случаи гендерного насилия в Беларуси.</w:t>
      </w:r>
    </w:p>
    <w:p w:rsidR="00000000" w:rsidDel="00000000" w:rsidP="00000000" w:rsidRDefault="00000000" w:rsidRPr="00000000" w14:paraId="0000020B">
      <w:pPr>
        <w:jc w:val="both"/>
        <w:rPr/>
      </w:pPr>
      <w:r w:rsidDel="00000000" w:rsidR="00000000" w:rsidRPr="00000000">
        <w:rPr>
          <w:rtl w:val="0"/>
        </w:rPr>
      </w:r>
    </w:p>
    <w:p w:rsidR="00000000" w:rsidDel="00000000" w:rsidP="00000000" w:rsidRDefault="00000000" w:rsidRPr="00000000" w14:paraId="0000020C">
      <w:pPr>
        <w:jc w:val="both"/>
        <w:rPr>
          <w:color w:val="222222"/>
        </w:rPr>
      </w:pPr>
      <w:r w:rsidDel="00000000" w:rsidR="00000000" w:rsidRPr="00000000">
        <w:rPr>
          <w:color w:val="222222"/>
          <w:rtl w:val="0"/>
        </w:rPr>
        <w:t xml:space="preserve">Фонд провел две национальные информационные кампании, в рамках которых основное внимание уделялось предоставлению услуг пострадавшим от домашнего насилия, ненасильственному отношению к детям и работе с мужчинами-агрессорами, а также нулевой терпимости к гендерному насилию.</w:t>
      </w:r>
    </w:p>
    <w:p w:rsidR="00000000" w:rsidDel="00000000" w:rsidP="00000000" w:rsidRDefault="00000000" w:rsidRPr="00000000" w14:paraId="0000020D">
      <w:pPr>
        <w:jc w:val="both"/>
        <w:rPr>
          <w:color w:val="222222"/>
        </w:rPr>
      </w:pPr>
      <w:r w:rsidDel="00000000" w:rsidR="00000000" w:rsidRPr="00000000">
        <w:rPr>
          <w:rtl w:val="0"/>
        </w:rPr>
      </w:r>
    </w:p>
    <w:p w:rsidR="00000000" w:rsidDel="00000000" w:rsidP="00000000" w:rsidRDefault="00000000" w:rsidRPr="00000000" w14:paraId="0000020E">
      <w:pPr>
        <w:jc w:val="both"/>
        <w:rPr>
          <w:color w:val="222222"/>
        </w:rPr>
      </w:pPr>
      <w:r w:rsidDel="00000000" w:rsidR="00000000" w:rsidRPr="00000000">
        <w:rPr>
          <w:color w:val="222222"/>
          <w:rtl w:val="0"/>
        </w:rPr>
        <w:t xml:space="preserve">Также была оказана поддержка сети из 19 неправительственных организаций и Союзу сестричеств милосердия Белорусской Православной Церкви, работающих в области противодействия гендерному/домашнему насилию. Фонд выступил за включение вышеприведенных организаций в государственный механизм реагирования на случаи домашнего насилия на основе разработанных руководящих принципов социальных стандартов качества. Был укреплен потенциал неправительственных организаций, работающих в области предотвращения и противодействия домашнему насилию.</w:t>
      </w:r>
    </w:p>
    <w:p w:rsidR="00000000" w:rsidDel="00000000" w:rsidP="00000000" w:rsidRDefault="00000000" w:rsidRPr="00000000" w14:paraId="0000020F">
      <w:pPr>
        <w:jc w:val="both"/>
        <w:rPr>
          <w:color w:val="222222"/>
        </w:rPr>
      </w:pPr>
      <w:r w:rsidDel="00000000" w:rsidR="00000000" w:rsidRPr="00000000">
        <w:rPr>
          <w:rtl w:val="0"/>
        </w:rPr>
      </w:r>
    </w:p>
    <w:p w:rsidR="00000000" w:rsidDel="00000000" w:rsidP="00000000" w:rsidRDefault="00000000" w:rsidRPr="00000000" w14:paraId="00000210">
      <w:pPr>
        <w:jc w:val="both"/>
        <w:rPr>
          <w:color w:val="222222"/>
        </w:rPr>
      </w:pPr>
      <w:r w:rsidDel="00000000" w:rsidR="00000000" w:rsidRPr="00000000">
        <w:rPr>
          <w:color w:val="222222"/>
          <w:rtl w:val="0"/>
        </w:rPr>
        <w:t xml:space="preserve">Был проведен анализ лучшего международного опыта реагирования на случаи гендерного и домашнего насилия, а также анализ национального законодательства, существующих механизмов и институционального потенциала для определения уровня соответствия требованиям Стамбульской конвенции при участии Национального центра законодательства и правовых исследований Республики Беларусь.</w:t>
      </w:r>
    </w:p>
    <w:p w:rsidR="00000000" w:rsidDel="00000000" w:rsidP="00000000" w:rsidRDefault="00000000" w:rsidRPr="00000000" w14:paraId="00000211">
      <w:pPr>
        <w:jc w:val="both"/>
        <w:rPr>
          <w:color w:val="222222"/>
        </w:rPr>
      </w:pPr>
      <w:r w:rsidDel="00000000" w:rsidR="00000000" w:rsidRPr="00000000">
        <w:rPr>
          <w:rtl w:val="0"/>
        </w:rPr>
      </w:r>
    </w:p>
    <w:p w:rsidR="00000000" w:rsidDel="00000000" w:rsidP="00000000" w:rsidRDefault="00000000" w:rsidRPr="00000000" w14:paraId="00000212">
      <w:pPr>
        <w:jc w:val="both"/>
        <w:rPr>
          <w:color w:val="222222"/>
        </w:rPr>
      </w:pPr>
      <w:r w:rsidDel="00000000" w:rsidR="00000000" w:rsidRPr="00000000">
        <w:rPr>
          <w:color w:val="222222"/>
          <w:rtl w:val="0"/>
        </w:rPr>
        <w:t xml:space="preserve">ЮНФПА поддержал исследование о распространенности домашнего насилия в 2014 году, исследование о распространенности насилия в отношении женщин и анализ стоимости домашнего насилия в Беларуси в 2018 году.</w:t>
      </w:r>
    </w:p>
    <w:p w:rsidR="00000000" w:rsidDel="00000000" w:rsidP="00000000" w:rsidRDefault="00000000" w:rsidRPr="00000000" w14:paraId="00000213">
      <w:pPr>
        <w:jc w:val="both"/>
        <w:rPr>
          <w:color w:val="222222"/>
        </w:rPr>
      </w:pPr>
      <w:r w:rsidDel="00000000" w:rsidR="00000000" w:rsidRPr="00000000">
        <w:rPr>
          <w:rtl w:val="0"/>
        </w:rPr>
      </w:r>
    </w:p>
    <w:p w:rsidR="00000000" w:rsidDel="00000000" w:rsidP="00000000" w:rsidRDefault="00000000" w:rsidRPr="00000000" w14:paraId="00000214">
      <w:pPr>
        <w:jc w:val="both"/>
        <w:rPr>
          <w:b w:val="1"/>
        </w:rPr>
      </w:pPr>
      <w:r w:rsidDel="00000000" w:rsidR="00000000" w:rsidRPr="00000000">
        <w:rPr>
          <w:b w:val="1"/>
          <w:rtl w:val="0"/>
        </w:rPr>
        <w:t xml:space="preserve">Народонаселение и развитие</w:t>
      </w:r>
    </w:p>
    <w:p w:rsidR="00000000" w:rsidDel="00000000" w:rsidP="00000000" w:rsidRDefault="00000000" w:rsidRPr="00000000" w14:paraId="00000215">
      <w:pPr>
        <w:jc w:val="both"/>
        <w:rPr/>
      </w:pPr>
      <w:r w:rsidDel="00000000" w:rsidR="00000000" w:rsidRPr="00000000">
        <w:rPr>
          <w:rtl w:val="0"/>
        </w:rPr>
        <w:t xml:space="preserve">ЮНФПА предоставил национальным партнерам международный опыт в области демографии и использования данных демографии в разработке национальных политик. Была оказана техническая помощь заинтересованным сторонам по разработке надежных процедур мониторинга и оценки при планировании программных вмешательств. ЮНФПА также оказал поддержку Белорусскому государственному университету в разработке учебных программ по демографии.</w:t>
      </w:r>
    </w:p>
    <w:p w:rsidR="00000000" w:rsidDel="00000000" w:rsidP="00000000" w:rsidRDefault="00000000" w:rsidRPr="00000000" w14:paraId="00000216">
      <w:pPr>
        <w:jc w:val="both"/>
        <w:rPr/>
      </w:pPr>
      <w:r w:rsidDel="00000000" w:rsidR="00000000" w:rsidRPr="00000000">
        <w:rPr>
          <w:rtl w:val="0"/>
        </w:rPr>
      </w:r>
    </w:p>
    <w:p w:rsidR="00000000" w:rsidDel="00000000" w:rsidP="00000000" w:rsidRDefault="00000000" w:rsidRPr="00000000" w14:paraId="00000217">
      <w:pPr>
        <w:jc w:val="both"/>
        <w:rPr/>
      </w:pPr>
      <w:r w:rsidDel="00000000" w:rsidR="00000000" w:rsidRPr="00000000">
        <w:rPr>
          <w:rtl w:val="0"/>
        </w:rPr>
        <w:t xml:space="preserve">ЮНФПА оказал техническую и экспертную поддержку в достижении результатов переписи 2010 года. Был укреплен потенциал Национального статистического комитета Республики Беларусь (Белстат) в разработке и использовании различных методов и техник распространения данных о переписи, в частности распространения данных онлайн. Было подготовлено и предоставлено широкой общественности четыре базы данных: база данных по переписи, база данных статистики народонаселения, BelarusInfo и TransMonEE. Кроме того, было проведено исследование бюджета времени (Time Budget Survey), которое было завершено в 2016 году. Основная цель исследования бюджета времени заключалась в том, чтобы показать, сколько времени тратится на различные виды деятельности в день различными группами населения. В 2017 году было проведено и финализировано исследование «Поколения и гендер». Основная цель исследования «Поколения и гендер» – обзор  динамики семьи и отношений.</w:t>
      </w:r>
    </w:p>
    <w:p w:rsidR="00000000" w:rsidDel="00000000" w:rsidP="00000000" w:rsidRDefault="00000000" w:rsidRPr="00000000" w14:paraId="00000218">
      <w:pPr>
        <w:jc w:val="both"/>
        <w:rPr/>
      </w:pPr>
      <w:r w:rsidDel="00000000" w:rsidR="00000000" w:rsidRPr="00000000">
        <w:rPr>
          <w:rtl w:val="0"/>
        </w:rPr>
      </w:r>
    </w:p>
    <w:p w:rsidR="00000000" w:rsidDel="00000000" w:rsidP="00000000" w:rsidRDefault="00000000" w:rsidRPr="00000000" w14:paraId="00000219">
      <w:pPr>
        <w:jc w:val="both"/>
        <w:rPr/>
      </w:pPr>
      <w:r w:rsidDel="00000000" w:rsidR="00000000" w:rsidRPr="00000000">
        <w:rPr>
          <w:rtl w:val="0"/>
        </w:rPr>
        <w:t xml:space="preserve">ЮНФПА оказал поддержку в разработке и осуществлении Национальной программы демографической безопасности Республики Беларусь на 2011-2015 годы и внес значительный вклад в совершенствование знаний и навыков национальных и частично региональных политиков и лиц, ответственных за принятие решений, педагогов и исследователей по вопросам демографии и социальной политики. Кроме того, ЮНФПА оказал экспертную поддержку Беларуси в осуществлении и мониторинге Государственной программы «Здоровье народа и демографическая безопасность Республики Беларусь» на 2016 – 2020 годы.</w:t>
      </w:r>
    </w:p>
    <w:p w:rsidR="00000000" w:rsidDel="00000000" w:rsidP="00000000" w:rsidRDefault="00000000" w:rsidRPr="00000000" w14:paraId="0000021A">
      <w:pPr>
        <w:jc w:val="both"/>
        <w:rPr/>
      </w:pPr>
      <w:r w:rsidDel="00000000" w:rsidR="00000000" w:rsidRPr="00000000">
        <w:rPr>
          <w:rtl w:val="0"/>
        </w:rPr>
      </w:r>
    </w:p>
    <w:p w:rsidR="00000000" w:rsidDel="00000000" w:rsidP="00000000" w:rsidRDefault="00000000" w:rsidRPr="00000000" w14:paraId="0000021B">
      <w:pPr>
        <w:jc w:val="both"/>
        <w:rPr>
          <w:b w:val="1"/>
        </w:rPr>
      </w:pPr>
      <w:r w:rsidDel="00000000" w:rsidR="00000000" w:rsidRPr="00000000">
        <w:rPr>
          <w:b w:val="1"/>
          <w:rtl w:val="0"/>
        </w:rPr>
        <w:t xml:space="preserve">Координация деятельности Страновой группы ООН (СГООН)</w:t>
      </w:r>
    </w:p>
    <w:p w:rsidR="00000000" w:rsidDel="00000000" w:rsidP="00000000" w:rsidRDefault="00000000" w:rsidRPr="00000000" w14:paraId="0000021C">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В какой степени ЮНФПА вносил вклад в координационные механизмы в системе ООН (СГООН) в Беларуси?</w:t>
      </w:r>
    </w:p>
    <w:p w:rsidR="00000000" w:rsidDel="00000000" w:rsidP="00000000" w:rsidRDefault="00000000" w:rsidRPr="00000000" w14:paraId="0000021D">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В какой мере ЮНДАФ отражает интересы, приоритеты и мандат ЮНФПА в Беларуси?</w:t>
      </w:r>
    </w:p>
    <w:p w:rsidR="00000000" w:rsidDel="00000000" w:rsidP="00000000" w:rsidRDefault="00000000" w:rsidRPr="00000000" w14:paraId="0000021E">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В какой степени ЮНФПА способствовал обеспечению взаимодополняемости программ, обеспечению синергии и недопущению наложения и дублирования деятельности партнеров по развитию, работающих в Беларуси?</w:t>
      </w:r>
    </w:p>
    <w:p w:rsidR="00000000" w:rsidDel="00000000" w:rsidP="00000000" w:rsidRDefault="00000000" w:rsidRPr="00000000" w14:paraId="0000021F">
      <w:pPr>
        <w:jc w:val="both"/>
        <w:rPr/>
      </w:pPr>
      <w:r w:rsidDel="00000000" w:rsidR="00000000" w:rsidRPr="00000000">
        <w:rPr>
          <w:rtl w:val="0"/>
        </w:rPr>
      </w:r>
    </w:p>
    <w:p w:rsidR="00000000" w:rsidDel="00000000" w:rsidP="00000000" w:rsidRDefault="00000000" w:rsidRPr="00000000" w14:paraId="00000220">
      <w:pPr>
        <w:jc w:val="both"/>
        <w:rPr>
          <w:b w:val="1"/>
        </w:rPr>
      </w:pPr>
      <w:r w:rsidDel="00000000" w:rsidR="00000000" w:rsidRPr="00000000">
        <w:rPr>
          <w:b w:val="1"/>
          <w:rtl w:val="0"/>
        </w:rPr>
        <w:t xml:space="preserve">Дополнительная ценность</w:t>
      </w:r>
    </w:p>
    <w:p w:rsidR="00000000" w:rsidDel="00000000" w:rsidP="00000000" w:rsidRDefault="00000000" w:rsidRPr="00000000" w14:paraId="00000221">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Каковы основные сравнительные сильные стороны ЮНФПА в Беларуси, особенно по сравнению с другими агентствами ООН? Являются ли эти сильные стороны результатом корпоративных функций ЮНФПА или они характерны для функций Странового офиса?</w:t>
      </w:r>
    </w:p>
    <w:p w:rsidR="00000000" w:rsidDel="00000000" w:rsidP="00000000" w:rsidRDefault="00000000" w:rsidRPr="00000000" w14:paraId="00000222">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В какой степени результаты, наблюдаемые в рамках программных областей, были бы достигнуты без поддержки ЮНФПА?</w:t>
      </w:r>
    </w:p>
    <w:p w:rsidR="00000000" w:rsidDel="00000000" w:rsidP="00000000" w:rsidRDefault="00000000" w:rsidRPr="00000000" w14:paraId="00000223">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Какова основная дополнительная ценность ЮНФПА в контексте Беларуси по мнению национальных заинтересованных сторон?</w:t>
      </w:r>
    </w:p>
    <w:p w:rsidR="00000000" w:rsidDel="00000000" w:rsidP="00000000" w:rsidRDefault="00000000" w:rsidRPr="00000000" w14:paraId="00000224">
      <w:pPr>
        <w:ind w:left="720" w:hanging="360"/>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225">
      <w:pPr>
        <w:jc w:val="both"/>
        <w:rPr/>
      </w:pPr>
      <w:r w:rsidDel="00000000" w:rsidR="00000000" w:rsidRPr="00000000">
        <w:rPr>
          <w:rtl w:val="0"/>
        </w:rPr>
        <w:t xml:space="preserve">Перечисленные выше общие вопросы являются предварительными. Окончательный список вопросов, не более 10, будет согласован на этапе разработки схемы оценки после проведения консультаций с Контактной группой по оценке и представлен в отчете о разработке схемы оценки.</w:t>
      </w:r>
    </w:p>
    <w:p w:rsidR="00000000" w:rsidDel="00000000" w:rsidP="00000000" w:rsidRDefault="00000000" w:rsidRPr="00000000" w14:paraId="00000226">
      <w:pPr>
        <w:jc w:val="both"/>
        <w:rPr>
          <w:b w:val="1"/>
        </w:rPr>
      </w:pPr>
      <w:r w:rsidDel="00000000" w:rsidR="00000000" w:rsidRPr="00000000">
        <w:rPr>
          <w:rtl w:val="0"/>
        </w:rPr>
      </w:r>
    </w:p>
    <w:p w:rsidR="00000000" w:rsidDel="00000000" w:rsidP="00000000" w:rsidRDefault="00000000" w:rsidRPr="00000000" w14:paraId="0000022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28">
      <w:pPr>
        <w:jc w:val="both"/>
        <w:rPr>
          <w:b w:val="1"/>
        </w:rPr>
      </w:pPr>
      <w:r w:rsidDel="00000000" w:rsidR="00000000" w:rsidRPr="00000000">
        <w:rPr>
          <w:rtl w:val="0"/>
        </w:rPr>
        <w:t xml:space="preserve"> </w:t>
      </w:r>
      <w:r w:rsidDel="00000000" w:rsidR="00000000" w:rsidRPr="00000000">
        <w:rPr>
          <w:b w:val="1"/>
          <w:rtl w:val="0"/>
        </w:rPr>
        <w:t xml:space="preserve">БИБЛИОГРАФИЯ И РЕСУРСЫ</w:t>
      </w:r>
    </w:p>
    <w:p w:rsidR="00000000" w:rsidDel="00000000" w:rsidP="00000000" w:rsidRDefault="00000000" w:rsidRPr="00000000" w14:paraId="00000229">
      <w:pPr>
        <w:rPr>
          <w:color w:val="333333"/>
          <w:sz w:val="20"/>
          <w:szCs w:val="20"/>
          <w:highlight w:val="white"/>
        </w:rPr>
      </w:pPr>
      <w:r w:rsidDel="00000000" w:rsidR="00000000" w:rsidRPr="00000000">
        <w:rPr>
          <w:rtl w:val="0"/>
        </w:rPr>
      </w:r>
    </w:p>
    <w:p w:rsidR="00000000" w:rsidDel="00000000" w:rsidP="00000000" w:rsidRDefault="00000000" w:rsidRPr="00000000" w14:paraId="0000022A">
      <w:pPr>
        <w:numPr>
          <w:ilvl w:val="0"/>
          <w:numId w:val="2"/>
        </w:numPr>
        <w:pBdr>
          <w:top w:space="0" w:sz="0" w:val="nil"/>
          <w:left w:space="0" w:sz="0" w:val="nil"/>
          <w:bottom w:space="0" w:sz="0" w:val="nil"/>
          <w:right w:space="0" w:sz="0" w:val="nil"/>
          <w:between w:space="0" w:sz="0" w:val="nil"/>
        </w:pBdr>
        <w:ind w:left="810" w:hanging="450"/>
        <w:rPr>
          <w:color w:val="000000"/>
          <w:sz w:val="20"/>
          <w:szCs w:val="20"/>
        </w:rPr>
      </w:pPr>
      <w:r w:rsidDel="00000000" w:rsidR="00000000" w:rsidRPr="00000000">
        <w:rPr>
          <w:color w:val="000000"/>
          <w:sz w:val="20"/>
          <w:szCs w:val="20"/>
          <w:rtl w:val="0"/>
        </w:rPr>
        <w:t xml:space="preserve">Национальный отчет по МКНР@15</w:t>
      </w:r>
    </w:p>
    <w:p w:rsidR="00000000" w:rsidDel="00000000" w:rsidP="00000000" w:rsidRDefault="00000000" w:rsidRPr="00000000" w14:paraId="0000022B">
      <w:pPr>
        <w:numPr>
          <w:ilvl w:val="0"/>
          <w:numId w:val="2"/>
        </w:numPr>
        <w:pBdr>
          <w:top w:space="0" w:sz="0" w:val="nil"/>
          <w:left w:space="0" w:sz="0" w:val="nil"/>
          <w:bottom w:space="0" w:sz="0" w:val="nil"/>
          <w:right w:space="0" w:sz="0" w:val="nil"/>
          <w:between w:space="0" w:sz="0" w:val="nil"/>
        </w:pBdr>
        <w:ind w:left="810" w:hanging="450"/>
        <w:rPr>
          <w:color w:val="000000"/>
          <w:sz w:val="20"/>
          <w:szCs w:val="20"/>
          <w:u w:val="single"/>
        </w:rPr>
      </w:pPr>
      <w:r w:rsidDel="00000000" w:rsidR="00000000" w:rsidRPr="00000000">
        <w:rPr>
          <w:color w:val="000000"/>
          <w:sz w:val="20"/>
          <w:szCs w:val="20"/>
          <w:rtl w:val="0"/>
        </w:rPr>
        <w:t xml:space="preserve">Цели развития тысячелетия:</w:t>
      </w:r>
      <w:hyperlink r:id="rId12">
        <w:r w:rsidDel="00000000" w:rsidR="00000000" w:rsidRPr="00000000">
          <w:rPr>
            <w:color w:val="000000"/>
            <w:sz w:val="20"/>
            <w:szCs w:val="20"/>
            <w:rtl w:val="0"/>
          </w:rPr>
          <w:t xml:space="preserve"> </w:t>
        </w:r>
      </w:hyperlink>
      <w:r w:rsidDel="00000000" w:rsidR="00000000" w:rsidRPr="00000000">
        <w:fldChar w:fldCharType="begin"/>
        <w:instrText xml:space="preserve"> HYPERLINK "http://www.un.org/millenniumgoals/" </w:instrText>
        <w:fldChar w:fldCharType="separate"/>
      </w:r>
      <w:r w:rsidDel="00000000" w:rsidR="00000000" w:rsidRPr="00000000">
        <w:rPr>
          <w:color w:val="000000"/>
          <w:sz w:val="20"/>
          <w:szCs w:val="20"/>
          <w:u w:val="single"/>
          <w:rtl w:val="0"/>
        </w:rPr>
        <w:t xml:space="preserve">http://www.un.org/millenniumgoals/</w:t>
      </w:r>
    </w:p>
    <w:p w:rsidR="00000000" w:rsidDel="00000000" w:rsidP="00000000" w:rsidRDefault="00000000" w:rsidRPr="00000000" w14:paraId="0000022C">
      <w:pPr>
        <w:ind w:left="360"/>
        <w:rPr>
          <w:sz w:val="20"/>
          <w:szCs w:val="20"/>
          <w:u w:val="single"/>
        </w:rPr>
      </w:pPr>
      <w:r w:rsidDel="00000000" w:rsidR="00000000" w:rsidRPr="00000000">
        <w:fldChar w:fldCharType="end"/>
      </w:r>
      <w:r w:rsidDel="00000000" w:rsidR="00000000" w:rsidRPr="00000000">
        <w:rPr>
          <w:sz w:val="20"/>
          <w:szCs w:val="20"/>
          <w:rtl w:val="0"/>
        </w:rPr>
        <w:t xml:space="preserve">3      Цели устойчивого развития: </w:t>
      </w:r>
      <w:r w:rsidDel="00000000" w:rsidR="00000000" w:rsidRPr="00000000">
        <w:fldChar w:fldCharType="begin"/>
        <w:instrText xml:space="preserve"> HYPERLINK "https://www.un.org/sustainabledevelopment/sustainable-development-goals/" </w:instrText>
        <w:fldChar w:fldCharType="separate"/>
      </w:r>
      <w:r w:rsidDel="00000000" w:rsidR="00000000" w:rsidRPr="00000000">
        <w:rPr>
          <w:sz w:val="20"/>
          <w:szCs w:val="20"/>
          <w:u w:val="single"/>
          <w:rtl w:val="0"/>
        </w:rPr>
        <w:t xml:space="preserve">https://www.un.org/sustainabledevelopment/sustainable-development-goals/</w:t>
      </w:r>
    </w:p>
    <w:p w:rsidR="00000000" w:rsidDel="00000000" w:rsidP="00000000" w:rsidRDefault="00000000" w:rsidRPr="00000000" w14:paraId="0000022D">
      <w:pPr>
        <w:ind w:left="360"/>
        <w:rPr>
          <w:sz w:val="20"/>
          <w:szCs w:val="20"/>
          <w:u w:val="single"/>
        </w:rPr>
      </w:pPr>
      <w:r w:rsidDel="00000000" w:rsidR="00000000" w:rsidRPr="00000000">
        <w:fldChar w:fldCharType="end"/>
      </w:r>
      <w:r w:rsidDel="00000000" w:rsidR="00000000" w:rsidRPr="00000000">
        <w:rPr>
          <w:sz w:val="20"/>
          <w:szCs w:val="20"/>
          <w:rtl w:val="0"/>
        </w:rPr>
        <w:t xml:space="preserve">4      Веб-страница ЮНФПА:</w:t>
      </w:r>
      <w:hyperlink r:id="rId13">
        <w:r w:rsidDel="00000000" w:rsidR="00000000" w:rsidRPr="00000000">
          <w:rPr>
            <w:sz w:val="20"/>
            <w:szCs w:val="20"/>
            <w:rtl w:val="0"/>
          </w:rPr>
          <w:t xml:space="preserve"> </w:t>
        </w:r>
      </w:hyperlink>
      <w:r w:rsidDel="00000000" w:rsidR="00000000" w:rsidRPr="00000000">
        <w:fldChar w:fldCharType="begin"/>
        <w:instrText xml:space="preserve"> HYPERLINK "https://belarus.unfpa.org/en/unfpa-belarus" </w:instrText>
        <w:fldChar w:fldCharType="separate"/>
      </w:r>
      <w:r w:rsidDel="00000000" w:rsidR="00000000" w:rsidRPr="00000000">
        <w:rPr>
          <w:sz w:val="20"/>
          <w:szCs w:val="20"/>
          <w:u w:val="single"/>
          <w:rtl w:val="0"/>
        </w:rPr>
        <w:t xml:space="preserve">https://belarus.unfpa.org/en/unfpa-belarus</w:t>
      </w:r>
    </w:p>
    <w:p w:rsidR="00000000" w:rsidDel="00000000" w:rsidP="00000000" w:rsidRDefault="00000000" w:rsidRPr="00000000" w14:paraId="0000022E">
      <w:pPr>
        <w:ind w:left="360"/>
        <w:rPr>
          <w:sz w:val="20"/>
          <w:szCs w:val="20"/>
        </w:rPr>
      </w:pPr>
      <w:r w:rsidDel="00000000" w:rsidR="00000000" w:rsidRPr="00000000">
        <w:fldChar w:fldCharType="end"/>
      </w:r>
      <w:r w:rsidDel="00000000" w:rsidR="00000000" w:rsidRPr="00000000">
        <w:rPr>
          <w:sz w:val="20"/>
          <w:szCs w:val="20"/>
          <w:rtl w:val="0"/>
        </w:rPr>
        <w:t xml:space="preserve">5      Страновая программа ЮНФПА для Беларуси на 2010-2015 гг.</w:t>
      </w:r>
    </w:p>
    <w:p w:rsidR="00000000" w:rsidDel="00000000" w:rsidP="00000000" w:rsidRDefault="00000000" w:rsidRPr="00000000" w14:paraId="0000022F">
      <w:pPr>
        <w:ind w:left="360"/>
        <w:rPr>
          <w:sz w:val="20"/>
          <w:szCs w:val="20"/>
        </w:rPr>
      </w:pPr>
      <w:r w:rsidDel="00000000" w:rsidR="00000000" w:rsidRPr="00000000">
        <w:rPr>
          <w:sz w:val="20"/>
          <w:szCs w:val="20"/>
          <w:rtl w:val="0"/>
        </w:rPr>
        <w:t xml:space="preserve">6      Страновая программа ЮНФПА для Беларуси на 2016-2020 гг.</w:t>
      </w:r>
    </w:p>
    <w:p w:rsidR="00000000" w:rsidDel="00000000" w:rsidP="00000000" w:rsidRDefault="00000000" w:rsidRPr="00000000" w14:paraId="00000230">
      <w:pPr>
        <w:ind w:left="360"/>
        <w:rPr>
          <w:sz w:val="20"/>
          <w:szCs w:val="20"/>
        </w:rPr>
      </w:pPr>
      <w:r w:rsidDel="00000000" w:rsidR="00000000" w:rsidRPr="00000000">
        <w:rPr>
          <w:sz w:val="20"/>
          <w:szCs w:val="20"/>
          <w:rtl w:val="0"/>
        </w:rPr>
        <w:t xml:space="preserve">7      Оценочный отчет о фактических данных по Страновой программе ЮНФПА для Беларуси за 2011-2015 гг. (Evaluative evidence of the UNFPA country programme Belarus 2011-2015)</w:t>
      </w:r>
    </w:p>
    <w:p w:rsidR="00000000" w:rsidDel="00000000" w:rsidP="00000000" w:rsidRDefault="00000000" w:rsidRPr="00000000" w14:paraId="00000231">
      <w:pPr>
        <w:ind w:left="360"/>
        <w:rPr>
          <w:sz w:val="20"/>
          <w:szCs w:val="20"/>
        </w:rPr>
      </w:pPr>
      <w:r w:rsidDel="00000000" w:rsidR="00000000" w:rsidRPr="00000000">
        <w:rPr>
          <w:sz w:val="20"/>
          <w:szCs w:val="20"/>
          <w:rtl w:val="0"/>
        </w:rPr>
        <w:t xml:space="preserve">8      Доклад о человеческом развитии 2016: Человеческое развитие для всех и каждого</w:t>
      </w:r>
    </w:p>
    <w:p w:rsidR="00000000" w:rsidDel="00000000" w:rsidP="00000000" w:rsidRDefault="00000000" w:rsidRPr="00000000" w14:paraId="00000232">
      <w:pPr>
        <w:ind w:left="360"/>
        <w:rPr>
          <w:sz w:val="20"/>
          <w:szCs w:val="20"/>
        </w:rPr>
      </w:pPr>
      <w:r w:rsidDel="00000000" w:rsidR="00000000" w:rsidRPr="00000000">
        <w:rPr>
          <w:sz w:val="20"/>
          <w:szCs w:val="20"/>
          <w:rtl w:val="0"/>
        </w:rPr>
        <w:t xml:space="preserve">9      Доклад о человеческом развитии 2016: Человеческое развитие для всех и каждого</w:t>
      </w:r>
    </w:p>
    <w:p w:rsidR="00000000" w:rsidDel="00000000" w:rsidP="00000000" w:rsidRDefault="00000000" w:rsidRPr="00000000" w14:paraId="00000233">
      <w:pPr>
        <w:ind w:left="360"/>
        <w:rPr>
          <w:sz w:val="20"/>
          <w:szCs w:val="20"/>
          <w:u w:val="single"/>
        </w:rPr>
      </w:pPr>
      <w:r w:rsidDel="00000000" w:rsidR="00000000" w:rsidRPr="00000000">
        <w:rPr>
          <w:sz w:val="20"/>
          <w:szCs w:val="20"/>
          <w:rtl w:val="0"/>
        </w:rPr>
        <w:t xml:space="preserve">10  Всемирный банк, «Ведение бизнеса» в Беларуси:</w:t>
      </w:r>
      <w:hyperlink r:id="rId14">
        <w:r w:rsidDel="00000000" w:rsidR="00000000" w:rsidRPr="00000000">
          <w:rPr>
            <w:sz w:val="20"/>
            <w:szCs w:val="20"/>
            <w:rtl w:val="0"/>
          </w:rPr>
          <w:t xml:space="preserve"> </w:t>
        </w:r>
      </w:hyperlink>
      <w:r w:rsidDel="00000000" w:rsidR="00000000" w:rsidRPr="00000000">
        <w:fldChar w:fldCharType="begin"/>
        <w:instrText xml:space="preserve"> HYPERLINK "http://www.doingbusiness.org/en/data/exploreeconomies/belarus/" </w:instrText>
        <w:fldChar w:fldCharType="separate"/>
      </w:r>
      <w:r w:rsidDel="00000000" w:rsidR="00000000" w:rsidRPr="00000000">
        <w:rPr>
          <w:sz w:val="20"/>
          <w:szCs w:val="20"/>
          <w:u w:val="single"/>
          <w:rtl w:val="0"/>
        </w:rPr>
        <w:t xml:space="preserve">http://www.doingbusiness.org/en/data/exploreeconomies/belarus/</w:t>
      </w:r>
    </w:p>
    <w:p w:rsidR="00000000" w:rsidDel="00000000" w:rsidP="00000000" w:rsidRDefault="00000000" w:rsidRPr="00000000" w14:paraId="00000234">
      <w:pPr>
        <w:ind w:left="360"/>
        <w:rPr>
          <w:sz w:val="20"/>
          <w:szCs w:val="20"/>
        </w:rPr>
      </w:pPr>
      <w:r w:rsidDel="00000000" w:rsidR="00000000" w:rsidRPr="00000000">
        <w:fldChar w:fldCharType="end"/>
      </w:r>
      <w:r w:rsidDel="00000000" w:rsidR="00000000" w:rsidRPr="00000000">
        <w:rPr>
          <w:sz w:val="20"/>
          <w:szCs w:val="20"/>
          <w:rtl w:val="0"/>
        </w:rPr>
        <w:t xml:space="preserve">11  Доклад о человеческом развитии 2016: Человеческое развитие для всех и каждого</w:t>
      </w:r>
    </w:p>
    <w:p w:rsidR="00000000" w:rsidDel="00000000" w:rsidP="00000000" w:rsidRDefault="00000000" w:rsidRPr="00000000" w14:paraId="00000235">
      <w:pPr>
        <w:ind w:left="360"/>
        <w:rPr>
          <w:sz w:val="20"/>
          <w:szCs w:val="20"/>
        </w:rPr>
      </w:pPr>
      <w:r w:rsidDel="00000000" w:rsidR="00000000" w:rsidRPr="00000000">
        <w:rPr>
          <w:sz w:val="20"/>
          <w:szCs w:val="20"/>
          <w:rtl w:val="0"/>
        </w:rPr>
        <w:t xml:space="preserve">12  Национальный статистический комитет Республики Беларусь (Белстат)</w:t>
      </w:r>
    </w:p>
    <w:p w:rsidR="00000000" w:rsidDel="00000000" w:rsidP="00000000" w:rsidRDefault="00000000" w:rsidRPr="00000000" w14:paraId="00000236">
      <w:pPr>
        <w:ind w:left="360"/>
        <w:rPr>
          <w:sz w:val="20"/>
          <w:szCs w:val="20"/>
          <w:u w:val="single"/>
        </w:rPr>
      </w:pPr>
      <w:r w:rsidDel="00000000" w:rsidR="00000000" w:rsidRPr="00000000">
        <w:rPr>
          <w:sz w:val="20"/>
          <w:szCs w:val="20"/>
          <w:rtl w:val="0"/>
        </w:rPr>
        <w:t xml:space="preserve">13  Всемирный банк:</w:t>
      </w:r>
      <w:hyperlink r:id="rId15">
        <w:r w:rsidDel="00000000" w:rsidR="00000000" w:rsidRPr="00000000">
          <w:rPr>
            <w:sz w:val="20"/>
            <w:szCs w:val="20"/>
            <w:rtl w:val="0"/>
          </w:rPr>
          <w:t xml:space="preserve"> </w:t>
        </w:r>
      </w:hyperlink>
      <w:r w:rsidDel="00000000" w:rsidR="00000000" w:rsidRPr="00000000">
        <w:fldChar w:fldCharType="begin"/>
        <w:instrText xml:space="preserve"> HYPERLINK "https://data.worldbank.org/indicator/SP.DYN.TFRT.IN?locations=SL-BY" </w:instrText>
        <w:fldChar w:fldCharType="separate"/>
      </w:r>
      <w:r w:rsidDel="00000000" w:rsidR="00000000" w:rsidRPr="00000000">
        <w:rPr>
          <w:sz w:val="20"/>
          <w:szCs w:val="20"/>
          <w:u w:val="single"/>
          <w:rtl w:val="0"/>
        </w:rPr>
        <w:t xml:space="preserve">https://data.worldbank.org/indicator/SP.DYN.TFRT.IN?locations=SL-BY</w:t>
      </w:r>
    </w:p>
    <w:p w:rsidR="00000000" w:rsidDel="00000000" w:rsidP="00000000" w:rsidRDefault="00000000" w:rsidRPr="00000000" w14:paraId="00000237">
      <w:pPr>
        <w:ind w:left="360"/>
        <w:rPr>
          <w:sz w:val="20"/>
          <w:szCs w:val="20"/>
        </w:rPr>
      </w:pPr>
      <w:r w:rsidDel="00000000" w:rsidR="00000000" w:rsidRPr="00000000">
        <w:fldChar w:fldCharType="end"/>
      </w:r>
      <w:r w:rsidDel="00000000" w:rsidR="00000000" w:rsidRPr="00000000">
        <w:rPr>
          <w:sz w:val="20"/>
          <w:szCs w:val="20"/>
          <w:rtl w:val="0"/>
        </w:rPr>
        <w:t xml:space="preserve">14  Доклад о человеческом развитии:</w:t>
      </w:r>
      <w:hyperlink r:id="rId16">
        <w:r w:rsidDel="00000000" w:rsidR="00000000" w:rsidRPr="00000000">
          <w:rPr>
            <w:sz w:val="20"/>
            <w:szCs w:val="20"/>
            <w:rtl w:val="0"/>
          </w:rPr>
          <w:t xml:space="preserve"> </w:t>
        </w:r>
      </w:hyperlink>
      <w:hyperlink r:id="rId17">
        <w:r w:rsidDel="00000000" w:rsidR="00000000" w:rsidRPr="00000000">
          <w:rPr>
            <w:sz w:val="20"/>
            <w:szCs w:val="20"/>
            <w:u w:val="single"/>
            <w:rtl w:val="0"/>
          </w:rPr>
          <w:t xml:space="preserve">http://hdr.undp.org/en/69206</w:t>
        </w:r>
      </w:hyperlink>
      <w:r w:rsidDel="00000000" w:rsidR="00000000" w:rsidRPr="00000000">
        <w:rPr>
          <w:sz w:val="20"/>
          <w:szCs w:val="20"/>
          <w:rtl w:val="0"/>
        </w:rPr>
        <w:t xml:space="preserve">.</w:t>
      </w:r>
    </w:p>
    <w:p w:rsidR="00000000" w:rsidDel="00000000" w:rsidP="00000000" w:rsidRDefault="00000000" w:rsidRPr="00000000" w14:paraId="00000238">
      <w:pPr>
        <w:ind w:left="360"/>
        <w:rPr>
          <w:sz w:val="20"/>
          <w:szCs w:val="20"/>
          <w:u w:val="single"/>
        </w:rPr>
      </w:pPr>
      <w:r w:rsidDel="00000000" w:rsidR="00000000" w:rsidRPr="00000000">
        <w:rPr>
          <w:sz w:val="20"/>
          <w:szCs w:val="20"/>
          <w:rtl w:val="0"/>
        </w:rPr>
        <w:t xml:space="preserve">15  Мадридский международный план действий </w:t>
      </w:r>
      <w:r w:rsidDel="00000000" w:rsidR="00000000" w:rsidRPr="00000000">
        <w:fldChar w:fldCharType="begin"/>
        <w:instrText xml:space="preserve"> HYPERLINK "https://www.un.org/development/desa/ageing/madrid-plan-of-action-and-its-implementation.html" </w:instrText>
        <w:fldChar w:fldCharType="separate"/>
      </w:r>
      <w:r w:rsidDel="00000000" w:rsidR="00000000" w:rsidRPr="00000000">
        <w:rPr>
          <w:sz w:val="20"/>
          <w:szCs w:val="20"/>
          <w:u w:val="single"/>
          <w:rtl w:val="0"/>
        </w:rPr>
        <w:t xml:space="preserve">https://www.un.org/development/desa/ageing/madrid-plan-of-action-and-its-implementation.html</w:t>
      </w:r>
    </w:p>
    <w:p w:rsidR="00000000" w:rsidDel="00000000" w:rsidP="00000000" w:rsidRDefault="00000000" w:rsidRPr="00000000" w14:paraId="00000239">
      <w:pPr>
        <w:ind w:left="360"/>
        <w:rPr>
          <w:sz w:val="20"/>
          <w:szCs w:val="20"/>
        </w:rPr>
      </w:pPr>
      <w:r w:rsidDel="00000000" w:rsidR="00000000" w:rsidRPr="00000000">
        <w:fldChar w:fldCharType="end"/>
      </w:r>
      <w:r w:rsidDel="00000000" w:rsidR="00000000" w:rsidRPr="00000000">
        <w:rPr>
          <w:sz w:val="20"/>
          <w:szCs w:val="20"/>
          <w:rtl w:val="0"/>
        </w:rPr>
        <w:t xml:space="preserve">16  Глобальный Доклад о человеческом развитии 2014</w:t>
      </w:r>
    </w:p>
    <w:p w:rsidR="00000000" w:rsidDel="00000000" w:rsidP="00000000" w:rsidRDefault="00000000" w:rsidRPr="00000000" w14:paraId="0000023A">
      <w:pPr>
        <w:ind w:left="360"/>
        <w:rPr>
          <w:sz w:val="20"/>
          <w:szCs w:val="20"/>
        </w:rPr>
      </w:pPr>
      <w:r w:rsidDel="00000000" w:rsidR="00000000" w:rsidRPr="00000000">
        <w:rPr>
          <w:sz w:val="20"/>
          <w:szCs w:val="20"/>
          <w:rtl w:val="0"/>
        </w:rPr>
        <w:t xml:space="preserve">17  ЮНДАФ для Беларуси на 2011-2015 гг.</w:t>
      </w:r>
    </w:p>
    <w:p w:rsidR="00000000" w:rsidDel="00000000" w:rsidP="00000000" w:rsidRDefault="00000000" w:rsidRPr="00000000" w14:paraId="0000023B">
      <w:pPr>
        <w:ind w:left="360"/>
        <w:rPr>
          <w:sz w:val="20"/>
          <w:szCs w:val="20"/>
        </w:rPr>
      </w:pPr>
      <w:r w:rsidDel="00000000" w:rsidR="00000000" w:rsidRPr="00000000">
        <w:rPr>
          <w:sz w:val="20"/>
          <w:szCs w:val="20"/>
          <w:rtl w:val="0"/>
        </w:rPr>
        <w:t xml:space="preserve">18  ЮНДАФ для Беларуси на 2016-2020 гг.</w:t>
      </w:r>
    </w:p>
    <w:p w:rsidR="00000000" w:rsidDel="00000000" w:rsidP="00000000" w:rsidRDefault="00000000" w:rsidRPr="00000000" w14:paraId="0000023C">
      <w:pPr>
        <w:ind w:left="360"/>
        <w:rPr>
          <w:sz w:val="20"/>
          <w:szCs w:val="20"/>
        </w:rPr>
      </w:pPr>
      <w:r w:rsidDel="00000000" w:rsidR="00000000" w:rsidRPr="00000000">
        <w:rPr>
          <w:sz w:val="20"/>
          <w:szCs w:val="20"/>
          <w:rtl w:val="0"/>
        </w:rPr>
        <w:t xml:space="preserve">19  Стратегический план ЮНФПА на 2008-2013 гг.</w:t>
      </w:r>
    </w:p>
    <w:p w:rsidR="00000000" w:rsidDel="00000000" w:rsidP="00000000" w:rsidRDefault="00000000" w:rsidRPr="00000000" w14:paraId="0000023D">
      <w:pPr>
        <w:ind w:left="360"/>
        <w:rPr>
          <w:sz w:val="20"/>
          <w:szCs w:val="20"/>
        </w:rPr>
      </w:pPr>
      <w:r w:rsidDel="00000000" w:rsidR="00000000" w:rsidRPr="00000000">
        <w:rPr>
          <w:sz w:val="20"/>
          <w:szCs w:val="20"/>
          <w:rtl w:val="0"/>
        </w:rPr>
        <w:t xml:space="preserve">20  Стратегический план ЮНФПА на 2014-2017 гг.</w:t>
      </w:r>
    </w:p>
    <w:p w:rsidR="00000000" w:rsidDel="00000000" w:rsidP="00000000" w:rsidRDefault="00000000" w:rsidRPr="00000000" w14:paraId="0000023E">
      <w:pPr>
        <w:ind w:left="360"/>
        <w:rPr>
          <w:sz w:val="20"/>
          <w:szCs w:val="20"/>
        </w:rPr>
      </w:pPr>
      <w:r w:rsidDel="00000000" w:rsidR="00000000" w:rsidRPr="00000000">
        <w:rPr>
          <w:sz w:val="20"/>
          <w:szCs w:val="20"/>
          <w:rtl w:val="0"/>
        </w:rPr>
        <w:t xml:space="preserve">21  Годовой отчет о деятельности ЮНФПА в Беларуси за 2016 г.</w:t>
      </w:r>
    </w:p>
    <w:p w:rsidR="00000000" w:rsidDel="00000000" w:rsidP="00000000" w:rsidRDefault="00000000" w:rsidRPr="00000000" w14:paraId="0000023F">
      <w:pPr>
        <w:ind w:left="360"/>
        <w:rPr>
          <w:sz w:val="20"/>
          <w:szCs w:val="20"/>
        </w:rPr>
      </w:pPr>
      <w:r w:rsidDel="00000000" w:rsidR="00000000" w:rsidRPr="00000000">
        <w:rPr>
          <w:sz w:val="20"/>
          <w:szCs w:val="20"/>
          <w:rtl w:val="0"/>
        </w:rPr>
        <w:t xml:space="preserve">22  Годовой отчет о деятельности ЮНФПА в Беларуси за 2017 г.</w:t>
      </w:r>
    </w:p>
    <w:p w:rsidR="00000000" w:rsidDel="00000000" w:rsidP="00000000" w:rsidRDefault="00000000" w:rsidRPr="00000000" w14:paraId="00000240">
      <w:pPr>
        <w:ind w:left="360"/>
        <w:rPr>
          <w:sz w:val="20"/>
          <w:szCs w:val="20"/>
          <w:highlight w:val="white"/>
        </w:rPr>
      </w:pPr>
      <w:r w:rsidDel="00000000" w:rsidR="00000000" w:rsidRPr="00000000">
        <w:rPr>
          <w:sz w:val="20"/>
          <w:szCs w:val="20"/>
          <w:rtl w:val="0"/>
        </w:rPr>
        <w:t xml:space="preserve">23  Руководство по разработке и проведению оценки Страновых программ в ЮНФПА (</w:t>
      </w:r>
      <w:r w:rsidDel="00000000" w:rsidR="00000000" w:rsidRPr="00000000">
        <w:rPr>
          <w:sz w:val="20"/>
          <w:szCs w:val="20"/>
          <w:highlight w:val="white"/>
          <w:rtl w:val="0"/>
        </w:rPr>
        <w:t xml:space="preserve">Handbook “How to Design and Conduct a Country Programme Evaluation at UNFPA”)</w:t>
      </w:r>
    </w:p>
    <w:p w:rsidR="00000000" w:rsidDel="00000000" w:rsidP="00000000" w:rsidRDefault="00000000" w:rsidRPr="00000000" w14:paraId="00000241">
      <w:pPr>
        <w:ind w:left="360"/>
        <w:rPr>
          <w:sz w:val="20"/>
          <w:szCs w:val="20"/>
          <w:highlight w:val="white"/>
        </w:rPr>
      </w:pPr>
      <w:hyperlink r:id="rId18">
        <w:r w:rsidDel="00000000" w:rsidR="00000000" w:rsidRPr="00000000">
          <w:rPr>
            <w:sz w:val="20"/>
            <w:szCs w:val="20"/>
            <w:highlight w:val="white"/>
            <w:u w:val="single"/>
            <w:rtl w:val="0"/>
          </w:rPr>
          <w:t xml:space="preserve">http://www.unfpa.org/admin-resource/how-design-and-conduct-country-programme-evaluation-unfpa</w:t>
        </w:r>
      </w:hyperlink>
      <w:r w:rsidDel="00000000" w:rsidR="00000000" w:rsidRPr="00000000">
        <w:rPr>
          <w:rtl w:val="0"/>
        </w:rPr>
      </w:r>
    </w:p>
    <w:p w:rsidR="00000000" w:rsidDel="00000000" w:rsidP="00000000" w:rsidRDefault="00000000" w:rsidRPr="00000000" w14:paraId="00000242">
      <w:pPr>
        <w:ind w:left="360"/>
        <w:rPr>
          <w:sz w:val="20"/>
          <w:szCs w:val="20"/>
          <w:highlight w:val="white"/>
        </w:rPr>
      </w:pPr>
      <w:r w:rsidDel="00000000" w:rsidR="00000000" w:rsidRPr="00000000">
        <w:rPr>
          <w:sz w:val="20"/>
          <w:szCs w:val="20"/>
          <w:rtl w:val="0"/>
        </w:rPr>
        <w:t xml:space="preserve">24  Веб-страница ЮНФПА об оценке </w:t>
      </w:r>
      <w:hyperlink r:id="rId19">
        <w:r w:rsidDel="00000000" w:rsidR="00000000" w:rsidRPr="00000000">
          <w:rPr>
            <w:sz w:val="20"/>
            <w:szCs w:val="20"/>
            <w:highlight w:val="white"/>
            <w:u w:val="single"/>
            <w:rtl w:val="0"/>
          </w:rPr>
          <w:t xml:space="preserve">http://www.unfpa.org/evaluation</w:t>
        </w:r>
      </w:hyperlink>
      <w:r w:rsidDel="00000000" w:rsidR="00000000" w:rsidRPr="00000000">
        <w:rPr>
          <w:rtl w:val="0"/>
        </w:rPr>
      </w:r>
    </w:p>
    <w:p w:rsidR="00000000" w:rsidDel="00000000" w:rsidP="00000000" w:rsidRDefault="00000000" w:rsidRPr="00000000" w14:paraId="00000243">
      <w:pPr>
        <w:jc w:val="both"/>
        <w:rPr/>
      </w:pPr>
      <w:r w:rsidDel="00000000" w:rsidR="00000000" w:rsidRPr="00000000">
        <w:rPr>
          <w:rtl w:val="0"/>
        </w:rPr>
      </w:r>
    </w:p>
    <w:p w:rsidR="00000000" w:rsidDel="00000000" w:rsidP="00000000" w:rsidRDefault="00000000" w:rsidRPr="00000000" w14:paraId="00000244">
      <w:pPr>
        <w:jc w:val="both"/>
        <w:rPr/>
      </w:pPr>
      <w:r w:rsidDel="00000000" w:rsidR="00000000" w:rsidRPr="00000000">
        <w:rPr>
          <w:rtl w:val="0"/>
        </w:rPr>
      </w:r>
    </w:p>
    <w:p w:rsidR="00000000" w:rsidDel="00000000" w:rsidP="00000000" w:rsidRDefault="00000000" w:rsidRPr="00000000" w14:paraId="00000245">
      <w:pPr>
        <w:numPr>
          <w:ilvl w:val="0"/>
          <w:numId w:val="3"/>
        </w:numPr>
        <w:pBdr>
          <w:top w:space="0" w:sz="0" w:val="nil"/>
          <w:left w:space="0" w:sz="0" w:val="nil"/>
          <w:bottom w:space="0" w:sz="0" w:val="nil"/>
          <w:right w:space="0" w:sz="0" w:val="nil"/>
          <w:between w:space="0" w:sz="0" w:val="nil"/>
        </w:pBdr>
        <w:ind w:left="786" w:hanging="360"/>
        <w:rPr>
          <w:color w:val="000000"/>
        </w:rPr>
      </w:pPr>
      <w:r w:rsidDel="00000000" w:rsidR="00000000" w:rsidRPr="00000000">
        <w:rPr>
          <w:color w:val="000000"/>
          <w:rtl w:val="0"/>
        </w:rPr>
        <w:t xml:space="preserve">Список проектов в системе Atlas за отчетный период;</w:t>
      </w:r>
    </w:p>
    <w:p w:rsidR="00000000" w:rsidDel="00000000" w:rsidP="00000000" w:rsidRDefault="00000000" w:rsidRPr="00000000" w14:paraId="00000246">
      <w:pPr>
        <w:numPr>
          <w:ilvl w:val="0"/>
          <w:numId w:val="3"/>
        </w:numPr>
        <w:pBdr>
          <w:top w:space="0" w:sz="0" w:val="nil"/>
          <w:left w:space="0" w:sz="0" w:val="nil"/>
          <w:bottom w:space="0" w:sz="0" w:val="nil"/>
          <w:right w:space="0" w:sz="0" w:val="nil"/>
          <w:between w:space="0" w:sz="0" w:val="nil"/>
        </w:pBdr>
        <w:ind w:left="786" w:hanging="360"/>
        <w:rPr>
          <w:color w:val="000000"/>
        </w:rPr>
      </w:pPr>
      <w:r w:rsidDel="00000000" w:rsidR="00000000" w:rsidRPr="00000000">
        <w:rPr>
          <w:color w:val="000000"/>
          <w:rtl w:val="0"/>
        </w:rPr>
        <w:t xml:space="preserve">Информация об основных заинтересованных сторонах по областям вмешательств;</w:t>
      </w:r>
    </w:p>
    <w:p w:rsidR="00000000" w:rsidDel="00000000" w:rsidP="00000000" w:rsidRDefault="00000000" w:rsidRPr="00000000" w14:paraId="00000247">
      <w:pPr>
        <w:numPr>
          <w:ilvl w:val="0"/>
          <w:numId w:val="3"/>
        </w:numPr>
        <w:pBdr>
          <w:top w:space="0" w:sz="0" w:val="nil"/>
          <w:left w:space="0" w:sz="0" w:val="nil"/>
          <w:bottom w:space="0" w:sz="0" w:val="nil"/>
          <w:right w:space="0" w:sz="0" w:val="nil"/>
          <w:between w:space="0" w:sz="0" w:val="nil"/>
        </w:pBdr>
        <w:ind w:left="786" w:hanging="360"/>
        <w:rPr>
          <w:color w:val="000000"/>
        </w:rPr>
      </w:pPr>
      <w:r w:rsidDel="00000000" w:rsidR="00000000" w:rsidRPr="00000000">
        <w:rPr>
          <w:color w:val="000000"/>
          <w:rtl w:val="0"/>
        </w:rPr>
        <w:t xml:space="preserve">Краткое описание отчета о разработке схемы оценки и окончательного отчета об оценке;</w:t>
      </w:r>
    </w:p>
    <w:p w:rsidR="00000000" w:rsidDel="00000000" w:rsidP="00000000" w:rsidRDefault="00000000" w:rsidRPr="00000000" w14:paraId="00000248">
      <w:pPr>
        <w:numPr>
          <w:ilvl w:val="0"/>
          <w:numId w:val="3"/>
        </w:numPr>
        <w:pBdr>
          <w:top w:space="0" w:sz="0" w:val="nil"/>
          <w:left w:space="0" w:sz="0" w:val="nil"/>
          <w:bottom w:space="0" w:sz="0" w:val="nil"/>
          <w:right w:space="0" w:sz="0" w:val="nil"/>
          <w:between w:space="0" w:sz="0" w:val="nil"/>
        </w:pBdr>
        <w:ind w:left="786" w:hanging="360"/>
        <w:rPr>
          <w:color w:val="000000"/>
        </w:rPr>
      </w:pPr>
      <w:r w:rsidDel="00000000" w:rsidR="00000000" w:rsidRPr="00000000">
        <w:rPr>
          <w:color w:val="000000"/>
          <w:rtl w:val="0"/>
        </w:rPr>
        <w:t xml:space="preserve">Форма оценки качества и пояснительной записки;</w:t>
      </w:r>
    </w:p>
    <w:p w:rsidR="00000000" w:rsidDel="00000000" w:rsidP="00000000" w:rsidRDefault="00000000" w:rsidRPr="00000000" w14:paraId="00000249">
      <w:pPr>
        <w:numPr>
          <w:ilvl w:val="0"/>
          <w:numId w:val="3"/>
        </w:numPr>
        <w:pBdr>
          <w:top w:space="0" w:sz="0" w:val="nil"/>
          <w:left w:space="0" w:sz="0" w:val="nil"/>
          <w:bottom w:space="0" w:sz="0" w:val="nil"/>
          <w:right w:space="0" w:sz="0" w:val="nil"/>
          <w:between w:space="0" w:sz="0" w:val="nil"/>
        </w:pBdr>
        <w:ind w:left="786" w:hanging="360"/>
        <w:rPr>
          <w:color w:val="000000"/>
        </w:rPr>
      </w:pPr>
      <w:r w:rsidDel="00000000" w:rsidR="00000000" w:rsidRPr="00000000">
        <w:rPr>
          <w:color w:val="000000"/>
          <w:rtl w:val="0"/>
        </w:rPr>
        <w:t xml:space="preserve">Форма ответного послания руководства.</w:t>
      </w:r>
    </w:p>
    <w:p w:rsidR="00000000" w:rsidDel="00000000" w:rsidP="00000000" w:rsidRDefault="00000000" w:rsidRPr="00000000" w14:paraId="0000024A">
      <w:pPr>
        <w:rPr>
          <w:b w:val="1"/>
        </w:rPr>
      </w:pPr>
      <w:r w:rsidDel="00000000" w:rsidR="00000000" w:rsidRPr="00000000">
        <w:rPr>
          <w:rtl w:val="0"/>
        </w:rPr>
      </w:r>
    </w:p>
    <w:p w:rsidR="00000000" w:rsidDel="00000000" w:rsidP="00000000" w:rsidRDefault="00000000" w:rsidRPr="00000000" w14:paraId="0000024B">
      <w:pPr>
        <w:rPr>
          <w:b w:val="1"/>
          <w:smallCaps w:val="1"/>
        </w:rPr>
      </w:pPr>
      <w:bookmarkStart w:colFirst="0" w:colLast="0" w:name="_30j0zll" w:id="1"/>
      <w:bookmarkEnd w:id="1"/>
      <w:r w:rsidDel="00000000" w:rsidR="00000000" w:rsidRPr="00000000">
        <w:rPr>
          <w:rtl w:val="0"/>
        </w:rPr>
      </w:r>
    </w:p>
    <w:p w:rsidR="00000000" w:rsidDel="00000000" w:rsidP="00000000" w:rsidRDefault="00000000" w:rsidRPr="00000000" w14:paraId="0000024C">
      <w:pPr>
        <w:jc w:val="center"/>
        <w:rPr>
          <w:b w:val="1"/>
        </w:rPr>
      </w:pPr>
      <w:r w:rsidDel="00000000" w:rsidR="00000000" w:rsidRPr="00000000">
        <w:rPr>
          <w:rtl w:val="0"/>
        </w:rPr>
      </w:r>
    </w:p>
    <w:sectPr>
      <w:footerReference r:id="rId20" w:type="defaul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4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Национальный отчет по МКНР@15 </w:t>
      </w:r>
    </w:p>
  </w:footnote>
  <w:footnote w:id="1">
    <w:p w:rsidR="00000000" w:rsidDel="00000000" w:rsidP="00000000" w:rsidRDefault="00000000" w:rsidRPr="00000000" w14:paraId="000002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Цели развития тысячелетия: </w:t>
      </w:r>
      <w:hyperlink r:id="rId1">
        <w:r w:rsidDel="00000000" w:rsidR="00000000" w:rsidRPr="00000000">
          <w:rPr>
            <w:color w:val="1155cc"/>
            <w:sz w:val="20"/>
            <w:szCs w:val="20"/>
            <w:u w:val="single"/>
            <w:rtl w:val="0"/>
          </w:rPr>
          <w:t xml:space="preserve">http://www.un.org/millenniumgoals/</w:t>
        </w:r>
      </w:hyperlink>
      <w:r w:rsidDel="00000000" w:rsidR="00000000" w:rsidRPr="00000000">
        <w:rPr>
          <w:sz w:val="20"/>
          <w:szCs w:val="20"/>
          <w:rtl w:val="0"/>
        </w:rPr>
        <w:t xml:space="preserve"> </w:t>
      </w:r>
    </w:p>
  </w:footnote>
  <w:footnote w:id="2">
    <w:p w:rsidR="00000000" w:rsidDel="00000000" w:rsidP="00000000" w:rsidRDefault="00000000" w:rsidRPr="00000000" w14:paraId="0000024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Цели устойчивого развития: </w:t>
      </w:r>
      <w:hyperlink r:id="rId2">
        <w:r w:rsidDel="00000000" w:rsidR="00000000" w:rsidRPr="00000000">
          <w:rPr>
            <w:color w:val="1155cc"/>
            <w:sz w:val="20"/>
            <w:szCs w:val="20"/>
            <w:u w:val="single"/>
            <w:rtl w:val="0"/>
          </w:rPr>
          <w:t xml:space="preserve">https://www.un.org/sustainabledevelopment/sustainable-development-goals/</w:t>
        </w:r>
      </w:hyperlink>
      <w:r w:rsidDel="00000000" w:rsidR="00000000" w:rsidRPr="00000000">
        <w:rPr>
          <w:sz w:val="20"/>
          <w:szCs w:val="20"/>
          <w:rtl w:val="0"/>
        </w:rPr>
        <w:t xml:space="preserve"> </w:t>
      </w:r>
    </w:p>
  </w:footnote>
  <w:footnote w:id="3">
    <w:p w:rsidR="00000000" w:rsidDel="00000000" w:rsidP="00000000" w:rsidRDefault="00000000" w:rsidRPr="00000000" w14:paraId="0000025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Веб-страница ЮНФПА: </w:t>
      </w:r>
      <w:hyperlink r:id="rId3">
        <w:r w:rsidDel="00000000" w:rsidR="00000000" w:rsidRPr="00000000">
          <w:rPr>
            <w:color w:val="1155cc"/>
            <w:sz w:val="20"/>
            <w:szCs w:val="20"/>
            <w:u w:val="single"/>
            <w:rtl w:val="0"/>
          </w:rPr>
          <w:t xml:space="preserve">https://belarus.unfpa.org/en/unfpa-belarus</w:t>
        </w:r>
      </w:hyperlink>
      <w:r w:rsidDel="00000000" w:rsidR="00000000" w:rsidRPr="00000000">
        <w:rPr>
          <w:sz w:val="20"/>
          <w:szCs w:val="20"/>
          <w:rtl w:val="0"/>
        </w:rPr>
        <w:t xml:space="preserve"> </w:t>
      </w:r>
    </w:p>
  </w:footnote>
  <w:footnote w:id="4">
    <w:p w:rsidR="00000000" w:rsidDel="00000000" w:rsidP="00000000" w:rsidRDefault="00000000" w:rsidRPr="00000000" w14:paraId="000002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Страновая программа ЮНФПА для Беларуси на 2010-2015 гг.</w:t>
      </w:r>
    </w:p>
  </w:footnote>
  <w:footnote w:id="5">
    <w:p w:rsidR="00000000" w:rsidDel="00000000" w:rsidP="00000000" w:rsidRDefault="00000000" w:rsidRPr="00000000" w14:paraId="000002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Страновая программа ЮНФПА для Беларуси на 2016-2020 гг.</w:t>
      </w:r>
    </w:p>
  </w:footnote>
  <w:footnote w:id="6">
    <w:p w:rsidR="00000000" w:rsidDel="00000000" w:rsidP="00000000" w:rsidRDefault="00000000" w:rsidRPr="00000000" w14:paraId="000002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Годовой отчет о деятельности ЮНФПА в Беларуси за 2016 гг.</w:t>
      </w:r>
    </w:p>
  </w:footnote>
  <w:footnote w:id="7">
    <w:p w:rsidR="00000000" w:rsidDel="00000000" w:rsidP="00000000" w:rsidRDefault="00000000" w:rsidRPr="00000000" w14:paraId="000002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Годовой отчет о деятельности ЮНФПА в Беларуси за 2017 гг.</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5" w:hanging="4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45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86" w:hanging="360.00000000000006"/>
      </w:pPr>
      <w:rPr>
        <w:rFonts w:ascii="Arial" w:cs="Arial" w:eastAsia="Arial" w:hAnsi="Arial"/>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evalpartners.org/evalgender/no-one-left-behind#guidance" TargetMode="External"/><Relationship Id="rId10" Type="http://schemas.openxmlformats.org/officeDocument/2006/relationships/hyperlink" Target="https://www.unfpa.org/admin-resource/how-design-and-conduct-country-programme-evaluation-unfpa" TargetMode="External"/><Relationship Id="rId13" Type="http://schemas.openxmlformats.org/officeDocument/2006/relationships/hyperlink" Target="https://belarus.unfpa.org/en/unfpa-belarus" TargetMode="External"/><Relationship Id="rId12" Type="http://schemas.openxmlformats.org/officeDocument/2006/relationships/hyperlink" Target="http://www.un.org/millenniumgoa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nfpa.org/admin-resource/evaluation-quality-assurance-and-assessment-tools-and-guidance" TargetMode="External"/><Relationship Id="rId15" Type="http://schemas.openxmlformats.org/officeDocument/2006/relationships/hyperlink" Target="https://data.worldbank.org/indicator/SP.DYN.TFRT.IN?locations=SL-BY" TargetMode="External"/><Relationship Id="rId14" Type="http://schemas.openxmlformats.org/officeDocument/2006/relationships/hyperlink" Target="http://www.doingbusiness.org/en/data/exploreeconomies/belarus/" TargetMode="External"/><Relationship Id="rId17" Type="http://schemas.openxmlformats.org/officeDocument/2006/relationships/hyperlink" Target="http://hdr.undp.org/en/69206" TargetMode="External"/><Relationship Id="rId16" Type="http://schemas.openxmlformats.org/officeDocument/2006/relationships/hyperlink" Target="http://hdr.undp.org/en/69206" TargetMode="External"/><Relationship Id="rId5" Type="http://schemas.openxmlformats.org/officeDocument/2006/relationships/numbering" Target="numbering.xml"/><Relationship Id="rId19" Type="http://schemas.openxmlformats.org/officeDocument/2006/relationships/hyperlink" Target="http://www.unfpa.org/evaluation" TargetMode="External"/><Relationship Id="rId6" Type="http://schemas.openxmlformats.org/officeDocument/2006/relationships/styles" Target="styles.xml"/><Relationship Id="rId18" Type="http://schemas.openxmlformats.org/officeDocument/2006/relationships/hyperlink" Target="http://www.unfpa.org/admin-resource/how-design-and-conduct-country-programme-evaluation-unfpa" TargetMode="External"/><Relationship Id="rId7" Type="http://schemas.openxmlformats.org/officeDocument/2006/relationships/hyperlink" Target="http://www.unfpa.org/admin-resource/how-design-and-conduct-country-programme-evaluation-unfpa" TargetMode="External"/><Relationship Id="rId8" Type="http://schemas.openxmlformats.org/officeDocument/2006/relationships/hyperlink" Target="http://www.unfpa.org/admin-resource/how-design-and-conduct-country-programme-evaluation-unfp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millenniumgoals/" TargetMode="External"/><Relationship Id="rId2" Type="http://schemas.openxmlformats.org/officeDocument/2006/relationships/hyperlink" Target="https://www.un.org/sustainabledevelopment/sustainable-development-goals/" TargetMode="External"/><Relationship Id="rId3" Type="http://schemas.openxmlformats.org/officeDocument/2006/relationships/hyperlink" Target="https://belarus.unfpa.org/en/unfpa-bela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